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C9" w:rsidRPr="006330AC" w:rsidRDefault="00C349C9" w:rsidP="00554824">
      <w:pPr>
        <w:jc w:val="center"/>
        <w:rPr>
          <w:b/>
          <w:sz w:val="24"/>
        </w:rPr>
      </w:pPr>
      <w:r w:rsidRPr="006330AC">
        <w:rPr>
          <w:b/>
          <w:sz w:val="24"/>
        </w:rPr>
        <w:t>PARLIAMENTARY SUPREMACY</w:t>
      </w:r>
    </w:p>
    <w:p w:rsidR="00C349C9" w:rsidRPr="006330AC" w:rsidRDefault="00C349C9" w:rsidP="00554824">
      <w:pPr>
        <w:jc w:val="center"/>
        <w:rPr>
          <w:b/>
          <w:sz w:val="24"/>
        </w:rPr>
      </w:pPr>
      <w:r w:rsidRPr="006330AC">
        <w:rPr>
          <w:b/>
          <w:sz w:val="24"/>
        </w:rPr>
        <w:t>JUDICIAL INDEPENDENCE</w:t>
      </w:r>
    </w:p>
    <w:p w:rsidR="00C349C9" w:rsidRDefault="00C349C9" w:rsidP="00554824">
      <w:pPr>
        <w:jc w:val="center"/>
        <w:rPr>
          <w:b/>
          <w:sz w:val="24"/>
          <w:lang w:val="en-US"/>
        </w:rPr>
      </w:pPr>
      <w:r w:rsidRPr="006330AC">
        <w:rPr>
          <w:b/>
          <w:sz w:val="24"/>
        </w:rPr>
        <w:t>LATIMER HOUSE GUIDELINES FOR THE COMMONWEALTH</w:t>
      </w:r>
    </w:p>
    <w:p w:rsidR="00554824" w:rsidRPr="00554824" w:rsidRDefault="00554824" w:rsidP="006330AC">
      <w:pPr>
        <w:jc w:val="both"/>
        <w:rPr>
          <w:b/>
          <w:sz w:val="24"/>
          <w:lang w:val="en-US"/>
        </w:rPr>
      </w:pPr>
    </w:p>
    <w:p w:rsidR="00746DE3" w:rsidRPr="00554824" w:rsidRDefault="00554824" w:rsidP="006330AC">
      <w:pPr>
        <w:jc w:val="both"/>
        <w:rPr>
          <w:b/>
          <w:i/>
          <w:sz w:val="24"/>
          <w:lang w:val="en-US"/>
        </w:rPr>
      </w:pPr>
      <w:r w:rsidRPr="00554824">
        <w:rPr>
          <w:b/>
          <w:i/>
          <w:sz w:val="24"/>
          <w:lang w:val="en-US"/>
        </w:rPr>
        <w:t>Adopted on 19 June 1998 at a meeting of the representatives of the Commonwealth Parliamentary Association, the Commonwealth Magistrat</w:t>
      </w:r>
      <w:bookmarkStart w:id="0" w:name="_GoBack"/>
      <w:bookmarkEnd w:id="0"/>
      <w:r w:rsidRPr="00554824">
        <w:rPr>
          <w:b/>
          <w:i/>
          <w:sz w:val="24"/>
          <w:lang w:val="en-US"/>
        </w:rPr>
        <w:t>es and Judges Association, the Commonwealth Lawyers’ Association and the Commonwealth Legal Education Association</w:t>
      </w:r>
    </w:p>
    <w:p w:rsidR="00C349C9" w:rsidRDefault="00C349C9" w:rsidP="006330AC">
      <w:pPr>
        <w:jc w:val="both"/>
        <w:rPr>
          <w:lang w:val="en-US"/>
        </w:rPr>
      </w:pPr>
      <w:r>
        <w:rPr>
          <w:lang w:val="en-US"/>
        </w:rPr>
        <w:t>(…)</w:t>
      </w:r>
    </w:p>
    <w:p w:rsidR="006B44F3" w:rsidRPr="006330AC" w:rsidRDefault="006B44F3" w:rsidP="006330AC">
      <w:pPr>
        <w:jc w:val="both"/>
        <w:rPr>
          <w:b/>
          <w:lang w:val="en-US"/>
        </w:rPr>
      </w:pPr>
      <w:r w:rsidRPr="006330AC">
        <w:rPr>
          <w:b/>
          <w:lang w:val="en-US"/>
        </w:rPr>
        <w:t>II) PRESERVING JUDICIAL INDEPENDENCE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1. Judicial appointments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Jurisdictions should have an appropriate independen</w:t>
      </w:r>
      <w:r>
        <w:rPr>
          <w:lang w:val="en-US"/>
        </w:rPr>
        <w:t xml:space="preserve">t process in place for judicial </w:t>
      </w:r>
      <w:r w:rsidRPr="006B44F3">
        <w:rPr>
          <w:lang w:val="en-US"/>
        </w:rPr>
        <w:t>appointments.</w:t>
      </w:r>
      <w:r>
        <w:rPr>
          <w:lang w:val="en-US"/>
        </w:rPr>
        <w:t xml:space="preserve"> </w:t>
      </w:r>
      <w:r w:rsidRPr="006B44F3">
        <w:rPr>
          <w:lang w:val="en-US"/>
        </w:rPr>
        <w:t>Where no independent system alre</w:t>
      </w:r>
      <w:r>
        <w:rPr>
          <w:lang w:val="en-US"/>
        </w:rPr>
        <w:t xml:space="preserve">ady exists, appointments should </w:t>
      </w:r>
      <w:r w:rsidRPr="006B44F3">
        <w:rPr>
          <w:lang w:val="en-US"/>
        </w:rPr>
        <w:t>be made by a judicial services commission (establ</w:t>
      </w:r>
      <w:r>
        <w:rPr>
          <w:lang w:val="en-US"/>
        </w:rPr>
        <w:t xml:space="preserve">ished by the Constitution or by </w:t>
      </w:r>
      <w:r w:rsidRPr="006B44F3">
        <w:rPr>
          <w:lang w:val="en-US"/>
        </w:rPr>
        <w:t>statute) or by an appropriate officer of state actin</w:t>
      </w:r>
      <w:r>
        <w:rPr>
          <w:lang w:val="en-US"/>
        </w:rPr>
        <w:t>g on the recommendation of such a commission.</w:t>
      </w:r>
      <w:r>
        <w:rPr>
          <w:rStyle w:val="a5"/>
          <w:lang w:val="en-US"/>
        </w:rPr>
        <w:footnoteReference w:id="1"/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The appointment process, whether or not involvi</w:t>
      </w:r>
      <w:r>
        <w:rPr>
          <w:lang w:val="en-US"/>
        </w:rPr>
        <w:t xml:space="preserve">ng an appropriately constituted </w:t>
      </w:r>
      <w:r w:rsidRPr="006B44F3">
        <w:rPr>
          <w:lang w:val="en-US"/>
        </w:rPr>
        <w:t xml:space="preserve">and representative judicial services commission, </w:t>
      </w:r>
      <w:r>
        <w:rPr>
          <w:lang w:val="en-US"/>
        </w:rPr>
        <w:t xml:space="preserve">should be designed to guarantee </w:t>
      </w:r>
      <w:r w:rsidRPr="006B44F3">
        <w:rPr>
          <w:lang w:val="en-US"/>
        </w:rPr>
        <w:t xml:space="preserve">the quality and independence of mind of those </w:t>
      </w:r>
      <w:r>
        <w:rPr>
          <w:lang w:val="en-US"/>
        </w:rPr>
        <w:t xml:space="preserve">selected for appointment at all </w:t>
      </w:r>
      <w:r w:rsidRPr="006B44F3">
        <w:rPr>
          <w:lang w:val="en-US"/>
        </w:rPr>
        <w:t>levels of the judiciary.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Judicial appointments to all levels of the judicia</w:t>
      </w:r>
      <w:r>
        <w:rPr>
          <w:lang w:val="en-US"/>
        </w:rPr>
        <w:t xml:space="preserve">ry should be made on merit with </w:t>
      </w:r>
      <w:r w:rsidRPr="006B44F3">
        <w:rPr>
          <w:lang w:val="en-US"/>
        </w:rPr>
        <w:t>appropriate provision for the progressive removal o</w:t>
      </w:r>
      <w:r>
        <w:rPr>
          <w:lang w:val="en-US"/>
        </w:rPr>
        <w:t xml:space="preserve">f gender imbalance and of other </w:t>
      </w:r>
      <w:r w:rsidRPr="006B44F3">
        <w:rPr>
          <w:lang w:val="en-US"/>
        </w:rPr>
        <w:t>hist</w:t>
      </w:r>
      <w:r>
        <w:rPr>
          <w:lang w:val="en-US"/>
        </w:rPr>
        <w:t>oric factors of discrimination.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Judicial appointments should normally be permanent</w:t>
      </w:r>
      <w:r>
        <w:rPr>
          <w:lang w:val="en-US"/>
        </w:rPr>
        <w:t xml:space="preserve">; whilst in some jurisdictions, </w:t>
      </w:r>
      <w:r w:rsidRPr="006B44F3">
        <w:rPr>
          <w:lang w:val="en-US"/>
        </w:rPr>
        <w:t xml:space="preserve">contract appointments may be </w:t>
      </w:r>
      <w:proofErr w:type="gramStart"/>
      <w:r w:rsidRPr="006B44F3">
        <w:rPr>
          <w:lang w:val="en-US"/>
        </w:rPr>
        <w:t>inevitable,</w:t>
      </w:r>
      <w:proofErr w:type="gramEnd"/>
      <w:r w:rsidRPr="006B44F3">
        <w:rPr>
          <w:lang w:val="en-US"/>
        </w:rPr>
        <w:t xml:space="preserve"> such ap</w:t>
      </w:r>
      <w:r>
        <w:rPr>
          <w:lang w:val="en-US"/>
        </w:rPr>
        <w:t>pointments should be subject to appropriate security of tenure.</w:t>
      </w:r>
      <w:r>
        <w:rPr>
          <w:rStyle w:val="a5"/>
          <w:lang w:val="en-US"/>
        </w:rPr>
        <w:footnoteReference w:id="2"/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Judicial vacancies should be advertised.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2. Funding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Sufficient and sustainable funding should be prov</w:t>
      </w:r>
      <w:r>
        <w:rPr>
          <w:lang w:val="en-US"/>
        </w:rPr>
        <w:t xml:space="preserve">ided to enable the judiciary to </w:t>
      </w:r>
      <w:r w:rsidRPr="006B44F3">
        <w:rPr>
          <w:lang w:val="en-US"/>
        </w:rPr>
        <w:t>perform its functions to the highest standards. Such funds, once voted for the judiciary by the legislature, should be protected from alienation</w:t>
      </w:r>
      <w:r>
        <w:rPr>
          <w:lang w:val="en-US"/>
        </w:rPr>
        <w:t xml:space="preserve"> or misuse. The </w:t>
      </w:r>
      <w:r w:rsidRPr="006B44F3">
        <w:rPr>
          <w:lang w:val="en-US"/>
        </w:rPr>
        <w:t>allocation or withholding of funding should not b</w:t>
      </w:r>
      <w:r>
        <w:rPr>
          <w:lang w:val="en-US"/>
        </w:rPr>
        <w:t xml:space="preserve">e used as a means of exercising </w:t>
      </w:r>
      <w:r w:rsidRPr="006B44F3">
        <w:rPr>
          <w:lang w:val="en-US"/>
        </w:rPr>
        <w:t>impro</w:t>
      </w:r>
      <w:r>
        <w:rPr>
          <w:lang w:val="en-US"/>
        </w:rPr>
        <w:t>per control over the judiciary.</w:t>
      </w:r>
      <w:r>
        <w:rPr>
          <w:rStyle w:val="a5"/>
          <w:lang w:val="en-US"/>
        </w:rPr>
        <w:footnoteReference w:id="3"/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lastRenderedPageBreak/>
        <w:t>Appropriate salaries and benefits, supporting sta</w:t>
      </w:r>
      <w:r>
        <w:rPr>
          <w:lang w:val="en-US"/>
        </w:rPr>
        <w:t xml:space="preserve">ff, resources and equipment are </w:t>
      </w:r>
      <w:r w:rsidRPr="006B44F3">
        <w:rPr>
          <w:lang w:val="en-US"/>
        </w:rPr>
        <w:t>essential to the proper functioning of the judiciary.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As a matter of principle, judicial salaries a</w:t>
      </w:r>
      <w:r>
        <w:rPr>
          <w:lang w:val="en-US"/>
        </w:rPr>
        <w:t xml:space="preserve">nd benefits should be set by an </w:t>
      </w:r>
      <w:r w:rsidRPr="006B44F3">
        <w:rPr>
          <w:lang w:val="en-US"/>
        </w:rPr>
        <w:t>independent body and their value should be maintained.</w:t>
      </w:r>
    </w:p>
    <w:p w:rsidR="006B44F3" w:rsidRPr="006B44F3" w:rsidRDefault="006B44F3" w:rsidP="006330AC">
      <w:pPr>
        <w:jc w:val="both"/>
        <w:rPr>
          <w:lang w:val="en-US"/>
        </w:rPr>
      </w:pPr>
      <w:r>
        <w:rPr>
          <w:lang w:val="en-US"/>
        </w:rPr>
        <w:t>3. Training</w:t>
      </w:r>
      <w:r>
        <w:rPr>
          <w:rStyle w:val="a5"/>
          <w:lang w:val="en-US"/>
        </w:rPr>
        <w:footnoteReference w:id="4"/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A culture of judicial</w:t>
      </w:r>
      <w:r>
        <w:rPr>
          <w:lang w:val="en-US"/>
        </w:rPr>
        <w:t xml:space="preserve"> education should be developed. </w:t>
      </w:r>
      <w:r w:rsidRPr="006B44F3">
        <w:rPr>
          <w:lang w:val="en-US"/>
        </w:rPr>
        <w:t xml:space="preserve">Training should be </w:t>
      </w:r>
      <w:proofErr w:type="spellStart"/>
      <w:r w:rsidRPr="006B44F3">
        <w:rPr>
          <w:lang w:val="en-US"/>
        </w:rPr>
        <w:t>organised</w:t>
      </w:r>
      <w:proofErr w:type="spellEnd"/>
      <w:r w:rsidRPr="006B44F3">
        <w:rPr>
          <w:lang w:val="en-US"/>
        </w:rPr>
        <w:t>, systematic and ongo</w:t>
      </w:r>
      <w:r>
        <w:rPr>
          <w:lang w:val="en-US"/>
        </w:rPr>
        <w:t xml:space="preserve">ing and under the control of an </w:t>
      </w:r>
      <w:r w:rsidRPr="006B44F3">
        <w:rPr>
          <w:lang w:val="en-US"/>
        </w:rPr>
        <w:t>adequately funded judicial body.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Judicial training should include the teaching of the law, judicial skills and the social</w:t>
      </w:r>
      <w:r>
        <w:rPr>
          <w:lang w:val="en-US"/>
        </w:rPr>
        <w:t xml:space="preserve"> </w:t>
      </w:r>
      <w:r w:rsidRPr="006B44F3">
        <w:rPr>
          <w:lang w:val="en-US"/>
        </w:rPr>
        <w:t>context including ethnic and gender issues.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The curriculum should be controlled by judicial officers who should have the assistance of lay specialists.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For jurisdictions without adequate training facilities</w:t>
      </w:r>
      <w:r>
        <w:rPr>
          <w:lang w:val="en-US"/>
        </w:rPr>
        <w:t xml:space="preserve">, access to facilities in other </w:t>
      </w:r>
      <w:r w:rsidRPr="006B44F3">
        <w:rPr>
          <w:lang w:val="en-US"/>
        </w:rPr>
        <w:t>jurisdictions should be provided.</w:t>
      </w:r>
    </w:p>
    <w:p w:rsidR="00C349C9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 xml:space="preserve">Courses in judicial education should be offered to </w:t>
      </w:r>
      <w:proofErr w:type="spellStart"/>
      <w:r w:rsidRPr="006B44F3">
        <w:rPr>
          <w:lang w:val="en-US"/>
        </w:rPr>
        <w:t>prac</w:t>
      </w:r>
      <w:r>
        <w:rPr>
          <w:lang w:val="en-US"/>
        </w:rPr>
        <w:t>tising</w:t>
      </w:r>
      <w:proofErr w:type="spellEnd"/>
      <w:r>
        <w:rPr>
          <w:lang w:val="en-US"/>
        </w:rPr>
        <w:t xml:space="preserve"> lawyers as part of their </w:t>
      </w:r>
      <w:r w:rsidRPr="006B44F3">
        <w:rPr>
          <w:lang w:val="en-US"/>
        </w:rPr>
        <w:t>ongoing pro</w:t>
      </w:r>
      <w:r>
        <w:rPr>
          <w:lang w:val="en-US"/>
        </w:rPr>
        <w:t>fessional development training.</w:t>
      </w:r>
      <w:r>
        <w:rPr>
          <w:rStyle w:val="a5"/>
          <w:lang w:val="en-US"/>
        </w:rPr>
        <w:footnoteReference w:id="5"/>
      </w:r>
    </w:p>
    <w:p w:rsidR="006B44F3" w:rsidRDefault="006B44F3" w:rsidP="006330AC">
      <w:pPr>
        <w:jc w:val="both"/>
        <w:rPr>
          <w:lang w:val="en-US"/>
        </w:rPr>
      </w:pPr>
      <w:r>
        <w:rPr>
          <w:lang w:val="en-US"/>
        </w:rPr>
        <w:t>(…)</w:t>
      </w:r>
    </w:p>
    <w:p w:rsidR="006B44F3" w:rsidRPr="006330AC" w:rsidRDefault="006B44F3" w:rsidP="006330AC">
      <w:pPr>
        <w:jc w:val="both"/>
        <w:rPr>
          <w:b/>
          <w:lang w:val="en-US"/>
        </w:rPr>
      </w:pPr>
      <w:r w:rsidRPr="006330AC">
        <w:rPr>
          <w:b/>
          <w:lang w:val="en-US"/>
        </w:rPr>
        <w:t>V) JUDICIAL AND PARLIAMENTARY ETHICS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1. Judicial Ethics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>(a) A Code of Ethics and Conduct should b</w:t>
      </w:r>
      <w:r>
        <w:rPr>
          <w:lang w:val="en-US"/>
        </w:rPr>
        <w:t xml:space="preserve">e developed and adopted by each </w:t>
      </w:r>
      <w:r w:rsidRPr="006B44F3">
        <w:rPr>
          <w:lang w:val="en-US"/>
        </w:rPr>
        <w:t>judiciary as a means of ensuring the accountability of judges;</w:t>
      </w:r>
    </w:p>
    <w:p w:rsidR="006B44F3" w:rsidRP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 xml:space="preserve">(b) </w:t>
      </w:r>
      <w:proofErr w:type="gramStart"/>
      <w:r w:rsidRPr="006B44F3">
        <w:rPr>
          <w:lang w:val="en-US"/>
        </w:rPr>
        <w:t>the</w:t>
      </w:r>
      <w:proofErr w:type="gramEnd"/>
      <w:r w:rsidRPr="006B44F3">
        <w:rPr>
          <w:lang w:val="en-US"/>
        </w:rPr>
        <w:t xml:space="preserve"> Commonwealth Magistrates’ and Judge</w:t>
      </w:r>
      <w:r>
        <w:rPr>
          <w:lang w:val="en-US"/>
        </w:rPr>
        <w:t>s’ Association should be encour</w:t>
      </w:r>
      <w:r w:rsidRPr="006B44F3">
        <w:rPr>
          <w:lang w:val="en-US"/>
        </w:rPr>
        <w:t>aged to complete its Model Code of Judic</w:t>
      </w:r>
      <w:r>
        <w:rPr>
          <w:lang w:val="en-US"/>
        </w:rPr>
        <w:t>ial Conduct now in development</w:t>
      </w:r>
      <w:r>
        <w:rPr>
          <w:rStyle w:val="a5"/>
          <w:lang w:val="en-US"/>
        </w:rPr>
        <w:footnoteReference w:id="6"/>
      </w:r>
      <w:r w:rsidRPr="006B44F3">
        <w:rPr>
          <w:lang w:val="en-US"/>
        </w:rPr>
        <w:t>;</w:t>
      </w:r>
    </w:p>
    <w:p w:rsidR="006B44F3" w:rsidRDefault="006B44F3" w:rsidP="006330AC">
      <w:pPr>
        <w:jc w:val="both"/>
        <w:rPr>
          <w:lang w:val="en-US"/>
        </w:rPr>
      </w:pPr>
      <w:r w:rsidRPr="006B44F3">
        <w:rPr>
          <w:lang w:val="en-US"/>
        </w:rPr>
        <w:t xml:space="preserve">(c) </w:t>
      </w:r>
      <w:proofErr w:type="gramStart"/>
      <w:r w:rsidRPr="006B44F3">
        <w:rPr>
          <w:lang w:val="en-US"/>
        </w:rPr>
        <w:t>the</w:t>
      </w:r>
      <w:proofErr w:type="gramEnd"/>
      <w:r w:rsidRPr="006B44F3">
        <w:rPr>
          <w:lang w:val="en-US"/>
        </w:rPr>
        <w:t xml:space="preserve"> Association should also serve as a repository of codes of judicial co</w:t>
      </w:r>
      <w:r>
        <w:rPr>
          <w:lang w:val="en-US"/>
        </w:rPr>
        <w:t xml:space="preserve">nduct developed by </w:t>
      </w:r>
      <w:r w:rsidRPr="006B44F3">
        <w:rPr>
          <w:lang w:val="en-US"/>
        </w:rPr>
        <w:t>Commonwealth judiciaries, which wil</w:t>
      </w:r>
      <w:r>
        <w:rPr>
          <w:lang w:val="en-US"/>
        </w:rPr>
        <w:t xml:space="preserve">l serve as a resource for other </w:t>
      </w:r>
      <w:r w:rsidRPr="006B44F3">
        <w:rPr>
          <w:lang w:val="en-US"/>
        </w:rPr>
        <w:t>jurisdictions.</w:t>
      </w:r>
    </w:p>
    <w:p w:rsidR="006B44F3" w:rsidRDefault="006B44F3" w:rsidP="006330AC">
      <w:pPr>
        <w:jc w:val="both"/>
        <w:rPr>
          <w:lang w:val="en-US"/>
        </w:rPr>
      </w:pPr>
      <w:r>
        <w:rPr>
          <w:lang w:val="en-US"/>
        </w:rPr>
        <w:t>(…)</w:t>
      </w:r>
    </w:p>
    <w:p w:rsidR="00642C82" w:rsidRPr="006330AC" w:rsidRDefault="00642C82" w:rsidP="006330AC">
      <w:pPr>
        <w:jc w:val="both"/>
        <w:rPr>
          <w:b/>
          <w:lang w:val="en-US"/>
        </w:rPr>
      </w:pPr>
      <w:r w:rsidRPr="006330AC">
        <w:rPr>
          <w:b/>
          <w:lang w:val="en-US"/>
        </w:rPr>
        <w:t>VI) ACCOUNTABILITY MECHANISMS</w:t>
      </w:r>
    </w:p>
    <w:p w:rsidR="00642C82" w:rsidRPr="00642C82" w:rsidRDefault="00642C82" w:rsidP="006330AC">
      <w:pPr>
        <w:jc w:val="both"/>
        <w:rPr>
          <w:lang w:val="en-US"/>
        </w:rPr>
      </w:pPr>
      <w:r w:rsidRPr="00642C82">
        <w:rPr>
          <w:lang w:val="en-US"/>
        </w:rPr>
        <w:t>1. Judicial Accountability</w:t>
      </w:r>
    </w:p>
    <w:p w:rsidR="00642C82" w:rsidRPr="00642C82" w:rsidRDefault="00642C82" w:rsidP="006330AC">
      <w:pPr>
        <w:jc w:val="both"/>
        <w:rPr>
          <w:lang w:val="en-US"/>
        </w:rPr>
      </w:pPr>
      <w:r w:rsidRPr="00642C82">
        <w:rPr>
          <w:lang w:val="en-US"/>
        </w:rPr>
        <w:t>(a) Discipline:</w:t>
      </w:r>
    </w:p>
    <w:p w:rsidR="00642C82" w:rsidRPr="00642C82" w:rsidRDefault="00642C82" w:rsidP="006330AC">
      <w:pPr>
        <w:jc w:val="both"/>
        <w:rPr>
          <w:lang w:val="en-US"/>
        </w:rPr>
      </w:pPr>
      <w:r w:rsidRPr="00642C82">
        <w:rPr>
          <w:lang w:val="en-US"/>
        </w:rPr>
        <w:lastRenderedPageBreak/>
        <w:t>(</w:t>
      </w:r>
      <w:proofErr w:type="spellStart"/>
      <w:r w:rsidRPr="00642C82">
        <w:rPr>
          <w:lang w:val="en-US"/>
        </w:rPr>
        <w:t>i</w:t>
      </w:r>
      <w:proofErr w:type="spellEnd"/>
      <w:r w:rsidRPr="00642C82">
        <w:rPr>
          <w:lang w:val="en-US"/>
        </w:rPr>
        <w:t>) In cases where a judge is at risk of removal, t</w:t>
      </w:r>
      <w:r>
        <w:rPr>
          <w:lang w:val="en-US"/>
        </w:rPr>
        <w:t xml:space="preserve">he judge must have the right to </w:t>
      </w:r>
      <w:r w:rsidRPr="00642C82">
        <w:rPr>
          <w:lang w:val="en-US"/>
        </w:rPr>
        <w:t>be fully informed of the charges, to be represent</w:t>
      </w:r>
      <w:r>
        <w:rPr>
          <w:lang w:val="en-US"/>
        </w:rPr>
        <w:t xml:space="preserve">ed at a hearing, to make a full </w:t>
      </w:r>
      <w:proofErr w:type="spellStart"/>
      <w:r w:rsidRPr="00642C82">
        <w:rPr>
          <w:lang w:val="en-US"/>
        </w:rPr>
        <w:t>defence</w:t>
      </w:r>
      <w:proofErr w:type="spellEnd"/>
      <w:r w:rsidRPr="00642C82">
        <w:rPr>
          <w:lang w:val="en-US"/>
        </w:rPr>
        <w:t xml:space="preserve"> and to be judged by an independent and impartial tribunal.</w:t>
      </w:r>
    </w:p>
    <w:p w:rsidR="00642C82" w:rsidRPr="00642C82" w:rsidRDefault="00642C82" w:rsidP="006330AC">
      <w:pPr>
        <w:jc w:val="both"/>
        <w:rPr>
          <w:lang w:val="en-US"/>
        </w:rPr>
      </w:pPr>
      <w:r w:rsidRPr="00642C82">
        <w:rPr>
          <w:lang w:val="en-US"/>
        </w:rPr>
        <w:t>Grounds for removal of a judge should be limited to:</w:t>
      </w:r>
    </w:p>
    <w:p w:rsidR="00642C82" w:rsidRPr="00642C82" w:rsidRDefault="00642C82" w:rsidP="006330AC">
      <w:pPr>
        <w:jc w:val="both"/>
        <w:rPr>
          <w:lang w:val="en-US"/>
        </w:rPr>
      </w:pPr>
      <w:r w:rsidRPr="00642C82">
        <w:rPr>
          <w:lang w:val="en-US"/>
        </w:rPr>
        <w:t xml:space="preserve">(A) </w:t>
      </w:r>
      <w:proofErr w:type="gramStart"/>
      <w:r w:rsidRPr="00642C82">
        <w:rPr>
          <w:lang w:val="en-US"/>
        </w:rPr>
        <w:t>inability</w:t>
      </w:r>
      <w:proofErr w:type="gramEnd"/>
      <w:r w:rsidRPr="00642C82">
        <w:rPr>
          <w:lang w:val="en-US"/>
        </w:rPr>
        <w:t xml:space="preserve"> to perform judicial duties and</w:t>
      </w:r>
    </w:p>
    <w:p w:rsidR="00642C82" w:rsidRPr="00642C82" w:rsidRDefault="00642C82" w:rsidP="006330AC">
      <w:pPr>
        <w:jc w:val="both"/>
        <w:rPr>
          <w:lang w:val="en-US"/>
        </w:rPr>
      </w:pPr>
      <w:r w:rsidRPr="00642C82">
        <w:rPr>
          <w:lang w:val="en-US"/>
        </w:rPr>
        <w:t xml:space="preserve">(B) </w:t>
      </w:r>
      <w:proofErr w:type="gramStart"/>
      <w:r w:rsidRPr="00642C82">
        <w:rPr>
          <w:lang w:val="en-US"/>
        </w:rPr>
        <w:t>serious</w:t>
      </w:r>
      <w:proofErr w:type="gramEnd"/>
      <w:r w:rsidRPr="00642C82">
        <w:rPr>
          <w:lang w:val="en-US"/>
        </w:rPr>
        <w:t xml:space="preserve"> misconduct.</w:t>
      </w:r>
    </w:p>
    <w:p w:rsidR="00642C82" w:rsidRPr="00642C82" w:rsidRDefault="00642C82" w:rsidP="006330AC">
      <w:pPr>
        <w:jc w:val="both"/>
        <w:rPr>
          <w:lang w:val="en-US"/>
        </w:rPr>
      </w:pPr>
      <w:r w:rsidRPr="00642C82">
        <w:rPr>
          <w:lang w:val="en-US"/>
        </w:rPr>
        <w:t>(ii) In all other matters, the process should be conducted by the c</w:t>
      </w:r>
      <w:r>
        <w:rPr>
          <w:lang w:val="en-US"/>
        </w:rPr>
        <w:t xml:space="preserve">hief judge of </w:t>
      </w:r>
      <w:r w:rsidRPr="00642C82">
        <w:rPr>
          <w:lang w:val="en-US"/>
        </w:rPr>
        <w:t>the courts;</w:t>
      </w:r>
    </w:p>
    <w:p w:rsidR="00642C82" w:rsidRPr="00642C82" w:rsidRDefault="00642C82" w:rsidP="006330AC">
      <w:pPr>
        <w:jc w:val="both"/>
        <w:rPr>
          <w:lang w:val="en-US"/>
        </w:rPr>
      </w:pPr>
      <w:r w:rsidRPr="00642C82">
        <w:rPr>
          <w:lang w:val="en-US"/>
        </w:rPr>
        <w:t>(iii) Disciplinary procedures should not include the public admonition of judges.</w:t>
      </w:r>
    </w:p>
    <w:p w:rsidR="00642C82" w:rsidRDefault="00642C82" w:rsidP="006330AC">
      <w:pPr>
        <w:jc w:val="both"/>
        <w:rPr>
          <w:lang w:val="en-US"/>
        </w:rPr>
      </w:pPr>
      <w:r w:rsidRPr="00642C82">
        <w:rPr>
          <w:lang w:val="en-US"/>
        </w:rPr>
        <w:t>Any admonitions should be delivered in private, by the chief judge.</w:t>
      </w:r>
    </w:p>
    <w:p w:rsidR="006330AC" w:rsidRDefault="006330AC" w:rsidP="006330AC">
      <w:pPr>
        <w:jc w:val="both"/>
        <w:rPr>
          <w:lang w:val="en-US"/>
        </w:rPr>
      </w:pPr>
      <w:r>
        <w:rPr>
          <w:lang w:val="en-US"/>
        </w:rPr>
        <w:t>(…)</w:t>
      </w:r>
    </w:p>
    <w:p w:rsidR="006330AC" w:rsidRPr="006330AC" w:rsidRDefault="006330AC" w:rsidP="006330AC">
      <w:pPr>
        <w:jc w:val="both"/>
        <w:rPr>
          <w:b/>
          <w:lang w:val="en-US"/>
        </w:rPr>
      </w:pPr>
      <w:r w:rsidRPr="006330AC">
        <w:rPr>
          <w:b/>
          <w:lang w:val="en-US"/>
        </w:rPr>
        <w:t>VIII) THE ROLE OF NON-JUDICIAL AND NON-PARLIAMENTARY INSTITUTIONS</w:t>
      </w:r>
    </w:p>
    <w:p w:rsidR="006330AC" w:rsidRPr="006330AC" w:rsidRDefault="006330AC" w:rsidP="006330AC">
      <w:pPr>
        <w:jc w:val="both"/>
        <w:rPr>
          <w:lang w:val="en-US"/>
        </w:rPr>
      </w:pPr>
      <w:r w:rsidRPr="006330AC">
        <w:rPr>
          <w:lang w:val="en-US"/>
        </w:rPr>
        <w:t>1.</w:t>
      </w:r>
      <w:r>
        <w:rPr>
          <w:lang w:val="en-US"/>
        </w:rPr>
        <w:t xml:space="preserve"> </w:t>
      </w:r>
      <w:r w:rsidRPr="006330AC">
        <w:rPr>
          <w:lang w:val="en-US"/>
        </w:rPr>
        <w:t>The Commonwealth Stat</w:t>
      </w:r>
      <w:r>
        <w:rPr>
          <w:lang w:val="en-US"/>
        </w:rPr>
        <w:t>ement on Freedom of Expression</w:t>
      </w:r>
      <w:r>
        <w:rPr>
          <w:rStyle w:val="a5"/>
          <w:lang w:val="en-US"/>
        </w:rPr>
        <w:footnoteReference w:id="7"/>
      </w:r>
      <w:r>
        <w:rPr>
          <w:lang w:val="en-US"/>
        </w:rPr>
        <w:t xml:space="preserve"> provides essential </w:t>
      </w:r>
      <w:r w:rsidRPr="006330AC">
        <w:rPr>
          <w:lang w:val="en-US"/>
        </w:rPr>
        <w:t>guarantees to which all Commonwealth countries should subscribe.</w:t>
      </w:r>
    </w:p>
    <w:p w:rsidR="006330AC" w:rsidRPr="006330AC" w:rsidRDefault="006330AC" w:rsidP="006330AC">
      <w:pPr>
        <w:jc w:val="both"/>
        <w:rPr>
          <w:lang w:val="en-US"/>
        </w:rPr>
      </w:pPr>
      <w:r w:rsidRPr="006330AC">
        <w:rPr>
          <w:lang w:val="en-US"/>
        </w:rPr>
        <w:t>2.</w:t>
      </w:r>
      <w:r>
        <w:rPr>
          <w:lang w:val="en-US"/>
        </w:rPr>
        <w:t xml:space="preserve"> </w:t>
      </w:r>
      <w:r w:rsidRPr="006330AC">
        <w:rPr>
          <w:lang w:val="en-US"/>
        </w:rPr>
        <w:t>The Executive must refrain from all measures dir</w:t>
      </w:r>
      <w:r>
        <w:rPr>
          <w:lang w:val="en-US"/>
        </w:rPr>
        <w:t xml:space="preserve">ected at inhibiting the freedom </w:t>
      </w:r>
      <w:r w:rsidRPr="006330AC">
        <w:rPr>
          <w:lang w:val="en-US"/>
        </w:rPr>
        <w:t>of the press, including indirect methods such as the misuse of official advertising.</w:t>
      </w:r>
    </w:p>
    <w:p w:rsidR="006330AC" w:rsidRPr="006330AC" w:rsidRDefault="006330AC" w:rsidP="006330AC">
      <w:pPr>
        <w:jc w:val="both"/>
        <w:rPr>
          <w:lang w:val="en-US"/>
        </w:rPr>
      </w:pPr>
      <w:r w:rsidRPr="006330AC">
        <w:rPr>
          <w:lang w:val="en-US"/>
        </w:rPr>
        <w:t>3.</w:t>
      </w:r>
      <w:r>
        <w:rPr>
          <w:lang w:val="en-US"/>
        </w:rPr>
        <w:t xml:space="preserve"> </w:t>
      </w:r>
      <w:r w:rsidRPr="006330AC">
        <w:rPr>
          <w:lang w:val="en-US"/>
        </w:rPr>
        <w:t xml:space="preserve">An independent, </w:t>
      </w:r>
      <w:proofErr w:type="spellStart"/>
      <w:r w:rsidRPr="006330AC">
        <w:rPr>
          <w:lang w:val="en-US"/>
        </w:rPr>
        <w:t>organised</w:t>
      </w:r>
      <w:proofErr w:type="spellEnd"/>
      <w:r w:rsidRPr="006330AC">
        <w:rPr>
          <w:lang w:val="en-US"/>
        </w:rPr>
        <w:t xml:space="preserve"> legal profession is an essential component in the protection of the rule of law.</w:t>
      </w:r>
    </w:p>
    <w:p w:rsidR="006330AC" w:rsidRPr="006330AC" w:rsidRDefault="006330AC" w:rsidP="006330AC">
      <w:pPr>
        <w:jc w:val="both"/>
        <w:rPr>
          <w:lang w:val="en-US"/>
        </w:rPr>
      </w:pPr>
      <w:r w:rsidRPr="006330AC">
        <w:rPr>
          <w:lang w:val="en-US"/>
        </w:rPr>
        <w:t>4. Adequate legal aid schemes should be provided for poor and disadvantaged litigants, including public interest advocates.</w:t>
      </w:r>
    </w:p>
    <w:p w:rsidR="006330AC" w:rsidRPr="006330AC" w:rsidRDefault="006330AC" w:rsidP="006330AC">
      <w:pPr>
        <w:jc w:val="both"/>
        <w:rPr>
          <w:lang w:val="en-US"/>
        </w:rPr>
      </w:pPr>
      <w:r w:rsidRPr="006330AC">
        <w:rPr>
          <w:lang w:val="en-US"/>
        </w:rPr>
        <w:t xml:space="preserve">5. Legal professional </w:t>
      </w:r>
      <w:proofErr w:type="spellStart"/>
      <w:r w:rsidRPr="006330AC">
        <w:rPr>
          <w:lang w:val="en-US"/>
        </w:rPr>
        <w:t>organisations</w:t>
      </w:r>
      <w:proofErr w:type="spellEnd"/>
      <w:r w:rsidRPr="006330AC">
        <w:rPr>
          <w:lang w:val="en-US"/>
        </w:rPr>
        <w:t xml:space="preserve"> should assist in </w:t>
      </w:r>
      <w:r>
        <w:rPr>
          <w:lang w:val="en-US"/>
        </w:rPr>
        <w:t xml:space="preserve">the provision, through pro bono </w:t>
      </w:r>
      <w:r w:rsidRPr="006330AC">
        <w:rPr>
          <w:lang w:val="en-US"/>
        </w:rPr>
        <w:t>schemes, of access to justice for the impecunious.</w:t>
      </w:r>
    </w:p>
    <w:p w:rsidR="006330AC" w:rsidRPr="006330AC" w:rsidRDefault="006330AC" w:rsidP="006330AC">
      <w:pPr>
        <w:jc w:val="both"/>
        <w:rPr>
          <w:lang w:val="en-US"/>
        </w:rPr>
      </w:pPr>
      <w:r w:rsidRPr="006330AC">
        <w:rPr>
          <w:lang w:val="en-US"/>
        </w:rPr>
        <w:t>6. The executive must refrain from obstructing th</w:t>
      </w:r>
      <w:r>
        <w:rPr>
          <w:lang w:val="en-US"/>
        </w:rPr>
        <w:t xml:space="preserve">e functioning of an independent </w:t>
      </w:r>
      <w:r w:rsidRPr="006330AC">
        <w:rPr>
          <w:lang w:val="en-US"/>
        </w:rPr>
        <w:t>legal profession by such means as withholding licensing of professional bodies.</w:t>
      </w:r>
    </w:p>
    <w:p w:rsidR="006330AC" w:rsidRDefault="006330AC" w:rsidP="006330AC">
      <w:pPr>
        <w:jc w:val="both"/>
        <w:rPr>
          <w:lang w:val="en-US"/>
        </w:rPr>
      </w:pPr>
      <w:r w:rsidRPr="006330AC">
        <w:rPr>
          <w:lang w:val="en-US"/>
        </w:rPr>
        <w:t>7. Human Rights Commissions, Offices</w:t>
      </w:r>
      <w:r>
        <w:rPr>
          <w:lang w:val="en-US"/>
        </w:rPr>
        <w:t xml:space="preserve"> of the Ombudsman and Access to </w:t>
      </w:r>
      <w:r w:rsidRPr="006330AC">
        <w:rPr>
          <w:lang w:val="en-US"/>
        </w:rPr>
        <w:t>Information Commissioners can play a key role i</w:t>
      </w:r>
      <w:r>
        <w:rPr>
          <w:lang w:val="en-US"/>
        </w:rPr>
        <w:t xml:space="preserve">n enhancing public awareness of </w:t>
      </w:r>
      <w:r w:rsidRPr="006330AC">
        <w:rPr>
          <w:lang w:val="en-US"/>
        </w:rPr>
        <w:t>good governance and rule of law issues, and adequa</w:t>
      </w:r>
      <w:r>
        <w:rPr>
          <w:lang w:val="en-US"/>
        </w:rPr>
        <w:t xml:space="preserve">te funding and resources should </w:t>
      </w:r>
      <w:r w:rsidRPr="006330AC">
        <w:rPr>
          <w:lang w:val="en-US"/>
        </w:rPr>
        <w:t>be made available to enable them to discharge the</w:t>
      </w:r>
      <w:r>
        <w:rPr>
          <w:lang w:val="en-US"/>
        </w:rPr>
        <w:t xml:space="preserve">se functions. Parliament should </w:t>
      </w:r>
      <w:r w:rsidRPr="006330AC">
        <w:rPr>
          <w:lang w:val="en-US"/>
        </w:rPr>
        <w:t>accept</w:t>
      </w:r>
      <w:r>
        <w:rPr>
          <w:lang w:val="en-US"/>
        </w:rPr>
        <w:t xml:space="preserve"> responsibility in this regard. </w:t>
      </w:r>
    </w:p>
    <w:p w:rsidR="006330AC" w:rsidRPr="00C349C9" w:rsidRDefault="006330AC" w:rsidP="006330AC">
      <w:pPr>
        <w:jc w:val="both"/>
        <w:rPr>
          <w:lang w:val="en-US"/>
        </w:rPr>
      </w:pPr>
      <w:r w:rsidRPr="006330AC">
        <w:rPr>
          <w:lang w:val="en-US"/>
        </w:rPr>
        <w:t>Such institutions should be empowered to provide access to alternative dispute</w:t>
      </w:r>
      <w:r>
        <w:rPr>
          <w:lang w:val="en-US"/>
        </w:rPr>
        <w:t xml:space="preserve"> </w:t>
      </w:r>
      <w:r w:rsidRPr="006330AC">
        <w:rPr>
          <w:lang w:val="en-US"/>
        </w:rPr>
        <w:t>resolution mechanisms.</w:t>
      </w:r>
    </w:p>
    <w:sectPr w:rsidR="006330AC" w:rsidRPr="00C34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3F" w:rsidRDefault="0027323F" w:rsidP="006B44F3">
      <w:pPr>
        <w:spacing w:after="0" w:line="240" w:lineRule="auto"/>
      </w:pPr>
      <w:r>
        <w:separator/>
      </w:r>
    </w:p>
  </w:endnote>
  <w:endnote w:type="continuationSeparator" w:id="0">
    <w:p w:rsidR="0027323F" w:rsidRDefault="0027323F" w:rsidP="006B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3F" w:rsidRDefault="0027323F" w:rsidP="006B44F3">
      <w:pPr>
        <w:spacing w:after="0" w:line="240" w:lineRule="auto"/>
      </w:pPr>
      <w:r>
        <w:separator/>
      </w:r>
    </w:p>
  </w:footnote>
  <w:footnote w:type="continuationSeparator" w:id="0">
    <w:p w:rsidR="0027323F" w:rsidRDefault="0027323F" w:rsidP="006B44F3">
      <w:pPr>
        <w:spacing w:after="0" w:line="240" w:lineRule="auto"/>
      </w:pPr>
      <w:r>
        <w:continuationSeparator/>
      </w:r>
    </w:p>
  </w:footnote>
  <w:footnote w:id="1">
    <w:p w:rsidR="006B44F3" w:rsidRPr="006B44F3" w:rsidRDefault="006B44F3" w:rsidP="006330AC">
      <w:pPr>
        <w:pStyle w:val="a3"/>
        <w:jc w:val="both"/>
        <w:rPr>
          <w:sz w:val="18"/>
          <w:szCs w:val="18"/>
          <w:lang w:val="en-US"/>
        </w:rPr>
      </w:pPr>
      <w:r w:rsidRPr="006B44F3">
        <w:rPr>
          <w:rStyle w:val="a5"/>
          <w:sz w:val="18"/>
          <w:szCs w:val="18"/>
        </w:rPr>
        <w:footnoteRef/>
      </w:r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Guidelines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clearly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recognise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that</w:t>
      </w:r>
      <w:proofErr w:type="spellEnd"/>
      <w:r w:rsidRPr="006B44F3">
        <w:rPr>
          <w:sz w:val="18"/>
          <w:szCs w:val="18"/>
        </w:rPr>
        <w:t xml:space="preserve">,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certain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jurisdictions</w:t>
      </w:r>
      <w:proofErr w:type="spellEnd"/>
      <w:r w:rsidRPr="006B44F3">
        <w:rPr>
          <w:sz w:val="18"/>
          <w:szCs w:val="18"/>
        </w:rPr>
        <w:t xml:space="preserve">, </w:t>
      </w:r>
      <w:proofErr w:type="spellStart"/>
      <w:r w:rsidRPr="006B44F3">
        <w:rPr>
          <w:sz w:val="18"/>
          <w:szCs w:val="18"/>
        </w:rPr>
        <w:t>appropriate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mechanisms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for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judicial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appointments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not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involving</w:t>
      </w:r>
      <w:proofErr w:type="spellEnd"/>
      <w:r w:rsidRPr="006B44F3">
        <w:rPr>
          <w:sz w:val="18"/>
          <w:szCs w:val="18"/>
        </w:rPr>
        <w:t xml:space="preserve"> a </w:t>
      </w:r>
      <w:proofErr w:type="spellStart"/>
      <w:r w:rsidRPr="006B44F3">
        <w:rPr>
          <w:sz w:val="18"/>
          <w:szCs w:val="18"/>
        </w:rPr>
        <w:t>judicial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service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commission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place</w:t>
      </w:r>
      <w:proofErr w:type="spellEnd"/>
      <w:r w:rsidRPr="006B44F3">
        <w:rPr>
          <w:sz w:val="18"/>
          <w:szCs w:val="18"/>
        </w:rPr>
        <w:t xml:space="preserve">. </w:t>
      </w:r>
      <w:proofErr w:type="spellStart"/>
      <w:r w:rsidRPr="006B44F3">
        <w:rPr>
          <w:sz w:val="18"/>
          <w:szCs w:val="18"/>
        </w:rPr>
        <w:t>However</w:t>
      </w:r>
      <w:proofErr w:type="spellEnd"/>
      <w:r w:rsidRPr="006B44F3">
        <w:rPr>
          <w:sz w:val="18"/>
          <w:szCs w:val="18"/>
        </w:rPr>
        <w:t xml:space="preserve">, </w:t>
      </w:r>
      <w:proofErr w:type="spellStart"/>
      <w:r w:rsidRPr="006B44F3">
        <w:rPr>
          <w:sz w:val="18"/>
          <w:szCs w:val="18"/>
        </w:rPr>
        <w:t>such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commissions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exist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many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jurisdictions</w:t>
      </w:r>
      <w:proofErr w:type="spellEnd"/>
      <w:r w:rsidRPr="006B44F3">
        <w:rPr>
          <w:sz w:val="18"/>
          <w:szCs w:val="18"/>
        </w:rPr>
        <w:t xml:space="preserve">, </w:t>
      </w:r>
      <w:proofErr w:type="spellStart"/>
      <w:r w:rsidRPr="006B44F3">
        <w:rPr>
          <w:sz w:val="18"/>
          <w:szCs w:val="18"/>
        </w:rPr>
        <w:t>though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their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composition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differs.There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arguments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for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against</w:t>
      </w:r>
      <w:proofErr w:type="spellEnd"/>
      <w:r w:rsidRPr="006B44F3">
        <w:rPr>
          <w:sz w:val="18"/>
          <w:szCs w:val="18"/>
        </w:rPr>
        <w:t xml:space="preserve"> a </w:t>
      </w:r>
      <w:proofErr w:type="spellStart"/>
      <w:r w:rsidRPr="006B44F3">
        <w:rPr>
          <w:sz w:val="18"/>
          <w:szCs w:val="18"/>
        </w:rPr>
        <w:t>majority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senior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judges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favour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strong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representation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other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branches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legal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profession</w:t>
      </w:r>
      <w:proofErr w:type="spellEnd"/>
      <w:r w:rsidRPr="006B44F3">
        <w:rPr>
          <w:sz w:val="18"/>
          <w:szCs w:val="18"/>
        </w:rPr>
        <w:t xml:space="preserve">, </w:t>
      </w:r>
      <w:proofErr w:type="spellStart"/>
      <w:r w:rsidRPr="006B44F3">
        <w:rPr>
          <w:sz w:val="18"/>
          <w:szCs w:val="18"/>
        </w:rPr>
        <w:t>members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parliament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civil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society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general</w:t>
      </w:r>
      <w:proofErr w:type="spellEnd"/>
    </w:p>
  </w:footnote>
  <w:footnote w:id="2">
    <w:p w:rsidR="006B44F3" w:rsidRPr="006B44F3" w:rsidRDefault="006B44F3" w:rsidP="006330AC">
      <w:pPr>
        <w:pStyle w:val="a3"/>
        <w:jc w:val="both"/>
        <w:rPr>
          <w:sz w:val="18"/>
          <w:szCs w:val="18"/>
          <w:lang w:val="en-US"/>
        </w:rPr>
      </w:pPr>
      <w:r w:rsidRPr="006B44F3">
        <w:rPr>
          <w:rStyle w:val="a5"/>
          <w:sz w:val="18"/>
          <w:szCs w:val="18"/>
        </w:rPr>
        <w:footnoteRef/>
      </w:r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making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non-permanent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judicial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appointments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executive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without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security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tenure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remains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controversial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a </w:t>
      </w:r>
      <w:proofErr w:type="spellStart"/>
      <w:r w:rsidRPr="006B44F3">
        <w:rPr>
          <w:sz w:val="18"/>
          <w:szCs w:val="18"/>
        </w:rPr>
        <w:t>number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jurisdictions</w:t>
      </w:r>
      <w:proofErr w:type="spellEnd"/>
      <w:r w:rsidRPr="006B44F3">
        <w:rPr>
          <w:sz w:val="18"/>
          <w:szCs w:val="18"/>
        </w:rPr>
        <w:t>.</w:t>
      </w:r>
    </w:p>
  </w:footnote>
  <w:footnote w:id="3">
    <w:p w:rsidR="006B44F3" w:rsidRPr="006B44F3" w:rsidRDefault="006B44F3" w:rsidP="006330AC">
      <w:pPr>
        <w:pStyle w:val="a3"/>
        <w:jc w:val="both"/>
        <w:rPr>
          <w:sz w:val="18"/>
          <w:szCs w:val="18"/>
        </w:rPr>
      </w:pPr>
      <w:r w:rsidRPr="006B44F3">
        <w:rPr>
          <w:rStyle w:val="a5"/>
          <w:sz w:val="18"/>
          <w:szCs w:val="18"/>
        </w:rPr>
        <w:footnoteRef/>
      </w:r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provision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adequate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funding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for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judiciary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must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be</w:t>
      </w:r>
      <w:proofErr w:type="spellEnd"/>
      <w:r w:rsidRPr="006B44F3">
        <w:rPr>
          <w:sz w:val="18"/>
          <w:szCs w:val="18"/>
        </w:rPr>
        <w:t xml:space="preserve"> a </w:t>
      </w:r>
      <w:proofErr w:type="spellStart"/>
      <w:r w:rsidRPr="006B44F3">
        <w:rPr>
          <w:sz w:val="18"/>
          <w:szCs w:val="18"/>
        </w:rPr>
        <w:t>very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high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priority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order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uphold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rule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law</w:t>
      </w:r>
      <w:proofErr w:type="spellEnd"/>
      <w:r w:rsidRPr="006B44F3">
        <w:rPr>
          <w:sz w:val="18"/>
          <w:szCs w:val="18"/>
        </w:rPr>
        <w:t xml:space="preserve">,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ensure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that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good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governance</w:t>
      </w:r>
      <w:proofErr w:type="spellEnd"/>
    </w:p>
    <w:p w:rsidR="006B44F3" w:rsidRPr="006B44F3" w:rsidRDefault="006B44F3" w:rsidP="006330AC">
      <w:pPr>
        <w:pStyle w:val="a3"/>
        <w:jc w:val="both"/>
        <w:rPr>
          <w:sz w:val="18"/>
          <w:szCs w:val="18"/>
        </w:rPr>
      </w:pP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democracy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sustained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provide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for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effective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efficient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administration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justice</w:t>
      </w:r>
      <w:proofErr w:type="spellEnd"/>
      <w:r w:rsidRPr="006B44F3">
        <w:rPr>
          <w:sz w:val="18"/>
          <w:szCs w:val="18"/>
        </w:rPr>
        <w:t xml:space="preserve">. </w:t>
      </w:r>
      <w:proofErr w:type="spellStart"/>
      <w:r w:rsidRPr="006B44F3">
        <w:rPr>
          <w:sz w:val="18"/>
          <w:szCs w:val="18"/>
        </w:rPr>
        <w:t>However</w:t>
      </w:r>
      <w:proofErr w:type="spellEnd"/>
      <w:r w:rsidRPr="006B44F3">
        <w:rPr>
          <w:sz w:val="18"/>
          <w:szCs w:val="18"/>
        </w:rPr>
        <w:t xml:space="preserve">, </w:t>
      </w:r>
      <w:proofErr w:type="spellStart"/>
      <w:r w:rsidRPr="006B44F3">
        <w:rPr>
          <w:sz w:val="18"/>
          <w:szCs w:val="18"/>
        </w:rPr>
        <w:t>it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acknowledged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that</w:t>
      </w:r>
      <w:proofErr w:type="spellEnd"/>
      <w:r w:rsidRPr="006B44F3">
        <w:rPr>
          <w:sz w:val="18"/>
          <w:szCs w:val="18"/>
        </w:rPr>
        <w:t xml:space="preserve"> a </w:t>
      </w:r>
      <w:proofErr w:type="spellStart"/>
      <w:r w:rsidRPr="006B44F3">
        <w:rPr>
          <w:sz w:val="18"/>
          <w:szCs w:val="18"/>
        </w:rPr>
        <w:t>shortfall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</w:p>
    <w:p w:rsidR="006B44F3" w:rsidRPr="006B44F3" w:rsidRDefault="006B44F3" w:rsidP="006330AC">
      <w:pPr>
        <w:pStyle w:val="a3"/>
        <w:jc w:val="both"/>
        <w:rPr>
          <w:sz w:val="18"/>
          <w:szCs w:val="18"/>
        </w:rPr>
      </w:pPr>
      <w:proofErr w:type="spellStart"/>
      <w:r w:rsidRPr="006B44F3">
        <w:rPr>
          <w:sz w:val="18"/>
          <w:szCs w:val="18"/>
        </w:rPr>
        <w:t>anticipated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national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income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might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lead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budgetary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constraints</w:t>
      </w:r>
      <w:proofErr w:type="spellEnd"/>
      <w:r w:rsidRPr="006B44F3">
        <w:rPr>
          <w:sz w:val="18"/>
          <w:szCs w:val="18"/>
        </w:rPr>
        <w:t xml:space="preserve">. </w:t>
      </w:r>
      <w:proofErr w:type="spellStart"/>
      <w:r w:rsidRPr="006B44F3">
        <w:rPr>
          <w:sz w:val="18"/>
          <w:szCs w:val="18"/>
        </w:rPr>
        <w:t>Finance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ministries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urged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engage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appropriate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consultations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order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set</w:t>
      </w:r>
      <w:proofErr w:type="spellEnd"/>
    </w:p>
    <w:p w:rsidR="006B44F3" w:rsidRPr="006B44F3" w:rsidRDefault="006B44F3" w:rsidP="006330AC">
      <w:pPr>
        <w:pStyle w:val="a3"/>
        <w:jc w:val="both"/>
        <w:rPr>
          <w:lang w:val="en-US"/>
        </w:rPr>
      </w:pPr>
      <w:proofErr w:type="spellStart"/>
      <w:r w:rsidRPr="006B44F3">
        <w:rPr>
          <w:sz w:val="18"/>
          <w:szCs w:val="18"/>
        </w:rPr>
        <w:t>realistic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sustainable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budgets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which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parliaments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should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approve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ensure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adequate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funds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available</w:t>
      </w:r>
      <w:proofErr w:type="spellEnd"/>
      <w:r w:rsidRPr="006B44F3">
        <w:rPr>
          <w:sz w:val="18"/>
          <w:szCs w:val="18"/>
        </w:rPr>
        <w:t>.</w:t>
      </w:r>
    </w:p>
  </w:footnote>
  <w:footnote w:id="4">
    <w:p w:rsidR="006B44F3" w:rsidRPr="006B44F3" w:rsidRDefault="006B44F3" w:rsidP="006330AC">
      <w:pPr>
        <w:pStyle w:val="a3"/>
        <w:jc w:val="both"/>
        <w:rPr>
          <w:sz w:val="18"/>
          <w:szCs w:val="18"/>
          <w:lang w:val="en-US"/>
        </w:rPr>
      </w:pPr>
      <w:r w:rsidRPr="006B44F3">
        <w:rPr>
          <w:rStyle w:val="a5"/>
          <w:sz w:val="18"/>
          <w:szCs w:val="18"/>
        </w:rPr>
        <w:footnoteRef/>
      </w:r>
      <w:r w:rsidRPr="006B44F3">
        <w:rPr>
          <w:sz w:val="18"/>
          <w:szCs w:val="18"/>
        </w:rPr>
        <w:t xml:space="preserve"> .</w:t>
      </w:r>
      <w:proofErr w:type="spellStart"/>
      <w:r w:rsidRPr="006B44F3">
        <w:rPr>
          <w:sz w:val="18"/>
          <w:szCs w:val="18"/>
        </w:rPr>
        <w:t>This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area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where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sponsoring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associations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can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play</w:t>
      </w:r>
      <w:proofErr w:type="spellEnd"/>
      <w:r w:rsidRPr="006B44F3">
        <w:rPr>
          <w:sz w:val="18"/>
          <w:szCs w:val="18"/>
        </w:rPr>
        <w:t xml:space="preserve"> a </w:t>
      </w:r>
      <w:proofErr w:type="spellStart"/>
      <w:r w:rsidRPr="006B44F3">
        <w:rPr>
          <w:sz w:val="18"/>
          <w:szCs w:val="18"/>
        </w:rPr>
        <w:t>cost-effective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role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co-operation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with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Commonwealth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Secretariat</w:t>
      </w:r>
      <w:proofErr w:type="spellEnd"/>
      <w:r w:rsidRPr="006B44F3">
        <w:rPr>
          <w:sz w:val="18"/>
          <w:szCs w:val="18"/>
        </w:rPr>
        <w:t xml:space="preserve">. </w:t>
      </w:r>
      <w:proofErr w:type="spellStart"/>
      <w:r w:rsidRPr="006B44F3">
        <w:rPr>
          <w:sz w:val="18"/>
          <w:szCs w:val="18"/>
        </w:rPr>
        <w:t>Resources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need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provided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order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support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judiciary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promotion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rule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law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good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governance</w:t>
      </w:r>
      <w:proofErr w:type="spellEnd"/>
      <w:r w:rsidRPr="006B44F3">
        <w:rPr>
          <w:sz w:val="18"/>
          <w:szCs w:val="18"/>
        </w:rPr>
        <w:t>.</w:t>
      </w:r>
    </w:p>
  </w:footnote>
  <w:footnote w:id="5">
    <w:p w:rsidR="006B44F3" w:rsidRPr="006B44F3" w:rsidRDefault="006B44F3" w:rsidP="006330AC">
      <w:pPr>
        <w:pStyle w:val="a3"/>
        <w:jc w:val="both"/>
        <w:rPr>
          <w:lang w:val="en-US"/>
        </w:rPr>
      </w:pPr>
      <w:r w:rsidRPr="006B44F3">
        <w:rPr>
          <w:rStyle w:val="a5"/>
          <w:sz w:val="18"/>
          <w:szCs w:val="18"/>
        </w:rPr>
        <w:footnoteRef/>
      </w:r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drafters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Guidelines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did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not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wish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this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provision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impinge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either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independence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judiciary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independence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legal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profession</w:t>
      </w:r>
      <w:proofErr w:type="spellEnd"/>
      <w:r w:rsidRPr="006B44F3">
        <w:rPr>
          <w:sz w:val="18"/>
          <w:szCs w:val="18"/>
        </w:rPr>
        <w:t xml:space="preserve">. </w:t>
      </w:r>
      <w:proofErr w:type="spellStart"/>
      <w:r w:rsidRPr="006B44F3">
        <w:rPr>
          <w:sz w:val="18"/>
          <w:szCs w:val="18"/>
        </w:rPr>
        <w:t>However</w:t>
      </w:r>
      <w:proofErr w:type="spellEnd"/>
      <w:r w:rsidRPr="006B44F3">
        <w:rPr>
          <w:sz w:val="18"/>
          <w:szCs w:val="18"/>
        </w:rPr>
        <w:t xml:space="preserve">,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many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jurisdictions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throughout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Commonwealth</w:t>
      </w:r>
      <w:proofErr w:type="spellEnd"/>
      <w:r w:rsidRPr="006B44F3">
        <w:rPr>
          <w:sz w:val="18"/>
          <w:szCs w:val="18"/>
        </w:rPr>
        <w:t xml:space="preserve">, </w:t>
      </w:r>
      <w:proofErr w:type="spellStart"/>
      <w:r w:rsidRPr="006B44F3">
        <w:rPr>
          <w:sz w:val="18"/>
          <w:szCs w:val="18"/>
        </w:rPr>
        <w:t>magistrates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judges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given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no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formal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training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commencement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their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duties</w:t>
      </w:r>
      <w:proofErr w:type="spellEnd"/>
      <w:r w:rsidRPr="006B44F3">
        <w:rPr>
          <w:sz w:val="18"/>
          <w:szCs w:val="18"/>
        </w:rPr>
        <w:t xml:space="preserve">. </w:t>
      </w:r>
      <w:proofErr w:type="spellStart"/>
      <w:r w:rsidRPr="006B44F3">
        <w:rPr>
          <w:sz w:val="18"/>
          <w:szCs w:val="18"/>
        </w:rPr>
        <w:t>It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was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felt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that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appointees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bench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would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benefit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from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some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training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prior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appointment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in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order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make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them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more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aware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duties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obligations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judicial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officers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and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aid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their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passage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to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the</w:t>
      </w:r>
      <w:proofErr w:type="spellEnd"/>
      <w:r w:rsidRPr="006B44F3">
        <w:rPr>
          <w:sz w:val="18"/>
          <w:szCs w:val="18"/>
        </w:rPr>
        <w:t xml:space="preserve"> </w:t>
      </w:r>
      <w:proofErr w:type="spellStart"/>
      <w:r w:rsidRPr="006B44F3">
        <w:rPr>
          <w:sz w:val="18"/>
          <w:szCs w:val="18"/>
        </w:rPr>
        <w:t>bench</w:t>
      </w:r>
      <w:proofErr w:type="spellEnd"/>
    </w:p>
  </w:footnote>
  <w:footnote w:id="6">
    <w:p w:rsidR="006B44F3" w:rsidRPr="006330AC" w:rsidRDefault="006B44F3" w:rsidP="006330AC">
      <w:pPr>
        <w:pStyle w:val="a3"/>
        <w:jc w:val="both"/>
        <w:rPr>
          <w:sz w:val="18"/>
          <w:szCs w:val="18"/>
          <w:lang w:val="en-US"/>
        </w:rPr>
      </w:pPr>
      <w:r w:rsidRPr="006330AC">
        <w:rPr>
          <w:rStyle w:val="a5"/>
          <w:sz w:val="18"/>
          <w:szCs w:val="18"/>
        </w:rPr>
        <w:footnoteRef/>
      </w:r>
      <w:r w:rsidRPr="006330AC">
        <w:rPr>
          <w:sz w:val="18"/>
          <w:szCs w:val="18"/>
        </w:rPr>
        <w:t xml:space="preserve"> </w:t>
      </w:r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Following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discussion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of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the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Guidelines</w:t>
      </w:r>
      <w:proofErr w:type="spellEnd"/>
      <w:r w:rsidR="006330AC" w:rsidRPr="006330AC">
        <w:rPr>
          <w:sz w:val="18"/>
          <w:szCs w:val="18"/>
        </w:rPr>
        <w:t xml:space="preserve">, </w:t>
      </w:r>
      <w:proofErr w:type="spellStart"/>
      <w:r w:rsidR="006330AC" w:rsidRPr="006330AC">
        <w:rPr>
          <w:sz w:val="18"/>
          <w:szCs w:val="18"/>
        </w:rPr>
        <w:t>it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has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been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accepted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by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the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Working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Group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that</w:t>
      </w:r>
      <w:proofErr w:type="spellEnd"/>
      <w:r w:rsidR="006330AC" w:rsidRPr="006330AC">
        <w:rPr>
          <w:sz w:val="18"/>
          <w:szCs w:val="18"/>
        </w:rPr>
        <w:t xml:space="preserve"> a "</w:t>
      </w:r>
      <w:proofErr w:type="spellStart"/>
      <w:r w:rsidR="006330AC" w:rsidRPr="006330AC">
        <w:rPr>
          <w:sz w:val="18"/>
          <w:szCs w:val="18"/>
        </w:rPr>
        <w:t>uniform</w:t>
      </w:r>
      <w:proofErr w:type="spellEnd"/>
      <w:r w:rsidR="006330AC" w:rsidRPr="006330AC">
        <w:rPr>
          <w:sz w:val="18"/>
          <w:szCs w:val="18"/>
        </w:rPr>
        <w:t xml:space="preserve">" </w:t>
      </w:r>
      <w:proofErr w:type="spellStart"/>
      <w:r w:rsidR="006330AC" w:rsidRPr="006330AC">
        <w:rPr>
          <w:sz w:val="18"/>
          <w:szCs w:val="18"/>
        </w:rPr>
        <w:t>Model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Code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of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Judicial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Conduct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is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inappropriate</w:t>
      </w:r>
      <w:proofErr w:type="spellEnd"/>
      <w:r w:rsidR="006330AC" w:rsidRPr="006330AC">
        <w:rPr>
          <w:sz w:val="18"/>
          <w:szCs w:val="18"/>
        </w:rPr>
        <w:t xml:space="preserve">. </w:t>
      </w:r>
      <w:proofErr w:type="spellStart"/>
      <w:r w:rsidR="006330AC" w:rsidRPr="006330AC">
        <w:rPr>
          <w:sz w:val="18"/>
          <w:szCs w:val="18"/>
        </w:rPr>
        <w:t>Judicial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Officers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in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each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country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should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develop</w:t>
      </w:r>
      <w:proofErr w:type="spellEnd"/>
      <w:r w:rsidR="006330AC" w:rsidRPr="006330AC">
        <w:rPr>
          <w:sz w:val="18"/>
          <w:szCs w:val="18"/>
        </w:rPr>
        <w:t xml:space="preserve">, </w:t>
      </w:r>
      <w:proofErr w:type="spellStart"/>
      <w:r w:rsidR="006330AC" w:rsidRPr="006330AC">
        <w:rPr>
          <w:sz w:val="18"/>
          <w:szCs w:val="18"/>
        </w:rPr>
        <w:t>adopt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and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periodically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review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codes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of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ethics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and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conduct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appropriate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to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their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jurisdiction.The</w:t>
      </w:r>
      <w:proofErr w:type="spellEnd"/>
      <w:r w:rsidR="006330AC" w:rsidRPr="006330AC">
        <w:rPr>
          <w:sz w:val="18"/>
          <w:szCs w:val="18"/>
        </w:rPr>
        <w:t xml:space="preserve"> CMJA </w:t>
      </w:r>
      <w:proofErr w:type="spellStart"/>
      <w:r w:rsidR="006330AC" w:rsidRPr="006330AC">
        <w:rPr>
          <w:sz w:val="18"/>
          <w:szCs w:val="18"/>
        </w:rPr>
        <w:t>will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promote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that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process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in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its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programmes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and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will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serve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as</w:t>
      </w:r>
      <w:proofErr w:type="spellEnd"/>
      <w:r w:rsidR="006330AC" w:rsidRPr="006330AC">
        <w:rPr>
          <w:sz w:val="18"/>
          <w:szCs w:val="18"/>
        </w:rPr>
        <w:t xml:space="preserve"> a </w:t>
      </w:r>
      <w:proofErr w:type="spellStart"/>
      <w:r w:rsidR="006330AC" w:rsidRPr="006330AC">
        <w:rPr>
          <w:sz w:val="18"/>
          <w:szCs w:val="18"/>
        </w:rPr>
        <w:t>repository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for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such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codes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when</w:t>
      </w:r>
      <w:proofErr w:type="spellEnd"/>
      <w:r w:rsidR="006330AC" w:rsidRPr="006330AC">
        <w:rPr>
          <w:sz w:val="18"/>
          <w:szCs w:val="18"/>
        </w:rPr>
        <w:t xml:space="preserve"> </w:t>
      </w:r>
      <w:proofErr w:type="spellStart"/>
      <w:r w:rsidR="006330AC" w:rsidRPr="006330AC">
        <w:rPr>
          <w:sz w:val="18"/>
          <w:szCs w:val="18"/>
        </w:rPr>
        <w:t>adopted</w:t>
      </w:r>
      <w:proofErr w:type="spellEnd"/>
    </w:p>
  </w:footnote>
  <w:footnote w:id="7">
    <w:p w:rsidR="006330AC" w:rsidRPr="006330AC" w:rsidRDefault="006330AC" w:rsidP="006330AC">
      <w:pPr>
        <w:pStyle w:val="a3"/>
        <w:jc w:val="both"/>
        <w:rPr>
          <w:sz w:val="18"/>
          <w:szCs w:val="18"/>
        </w:rPr>
      </w:pPr>
      <w:r w:rsidRPr="006330AC">
        <w:rPr>
          <w:rStyle w:val="a5"/>
          <w:sz w:val="18"/>
          <w:szCs w:val="18"/>
        </w:rPr>
        <w:footnoteRef/>
      </w:r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Since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the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Guidelines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were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drafted</w:t>
      </w:r>
      <w:proofErr w:type="spellEnd"/>
      <w:r w:rsidRPr="006330AC">
        <w:rPr>
          <w:sz w:val="18"/>
          <w:szCs w:val="18"/>
        </w:rPr>
        <w:t xml:space="preserve">, </w:t>
      </w:r>
      <w:proofErr w:type="spellStart"/>
      <w:r w:rsidRPr="006330AC">
        <w:rPr>
          <w:sz w:val="18"/>
          <w:szCs w:val="18"/>
        </w:rPr>
        <w:t>the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draft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Statement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on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Freedom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of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Expression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has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been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subject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to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further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consideration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and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the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reference</w:t>
      </w:r>
      <w:proofErr w:type="spellEnd"/>
      <w:r w:rsidRPr="006330AC">
        <w:rPr>
          <w:sz w:val="18"/>
          <w:szCs w:val="18"/>
          <w:lang w:val="en-US"/>
        </w:rPr>
        <w:t xml:space="preserve"> </w:t>
      </w:r>
      <w:proofErr w:type="spellStart"/>
      <w:r w:rsidRPr="006330AC">
        <w:rPr>
          <w:sz w:val="18"/>
          <w:szCs w:val="18"/>
        </w:rPr>
        <w:t>should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take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account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of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the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new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developments.The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Commonwealth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Heads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of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Government</w:t>
      </w:r>
      <w:proofErr w:type="spellEnd"/>
      <w:r w:rsidRPr="006330AC">
        <w:rPr>
          <w:sz w:val="18"/>
          <w:szCs w:val="18"/>
        </w:rPr>
        <w:t xml:space="preserve">, </w:t>
      </w:r>
      <w:proofErr w:type="spellStart"/>
      <w:r w:rsidRPr="006330AC">
        <w:rPr>
          <w:sz w:val="18"/>
          <w:szCs w:val="18"/>
        </w:rPr>
        <w:t>in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the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Coolum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Declaration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of</w:t>
      </w:r>
      <w:proofErr w:type="spellEnd"/>
      <w:r w:rsidRPr="006330AC">
        <w:rPr>
          <w:sz w:val="18"/>
          <w:szCs w:val="18"/>
        </w:rPr>
        <w:t xml:space="preserve"> 5 </w:t>
      </w:r>
      <w:proofErr w:type="spellStart"/>
      <w:r w:rsidRPr="006330AC">
        <w:rPr>
          <w:sz w:val="18"/>
          <w:szCs w:val="18"/>
        </w:rPr>
        <w:t>March</w:t>
      </w:r>
      <w:proofErr w:type="spellEnd"/>
      <w:r w:rsidRPr="006330AC">
        <w:rPr>
          <w:sz w:val="18"/>
          <w:szCs w:val="18"/>
        </w:rPr>
        <w:t xml:space="preserve"> 2002, </w:t>
      </w:r>
      <w:proofErr w:type="spellStart"/>
      <w:r w:rsidRPr="006330AC">
        <w:rPr>
          <w:sz w:val="18"/>
          <w:szCs w:val="18"/>
        </w:rPr>
        <w:t>included</w:t>
      </w:r>
      <w:proofErr w:type="spellEnd"/>
      <w:r w:rsidRPr="006330AC">
        <w:rPr>
          <w:sz w:val="18"/>
          <w:szCs w:val="18"/>
        </w:rPr>
        <w:t xml:space="preserve"> a</w:t>
      </w:r>
      <w:r w:rsidRPr="006330AC">
        <w:rPr>
          <w:sz w:val="18"/>
          <w:szCs w:val="18"/>
          <w:lang w:val="en-US"/>
        </w:rPr>
        <w:t xml:space="preserve"> </w:t>
      </w:r>
      <w:proofErr w:type="spellStart"/>
      <w:r w:rsidRPr="006330AC">
        <w:rPr>
          <w:sz w:val="18"/>
          <w:szCs w:val="18"/>
        </w:rPr>
        <w:t>commitment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to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freedom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of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expression</w:t>
      </w:r>
      <w:proofErr w:type="spellEnd"/>
      <w:r w:rsidRPr="006330AC">
        <w:rPr>
          <w:sz w:val="18"/>
          <w:szCs w:val="18"/>
        </w:rPr>
        <w:t>: "</w:t>
      </w:r>
      <w:proofErr w:type="spellStart"/>
      <w:r w:rsidRPr="006330AC">
        <w:rPr>
          <w:sz w:val="18"/>
          <w:szCs w:val="18"/>
        </w:rPr>
        <w:t>We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stand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united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in</w:t>
      </w:r>
      <w:proofErr w:type="spellEnd"/>
      <w:r w:rsidRPr="006330AC">
        <w:rPr>
          <w:sz w:val="18"/>
          <w:szCs w:val="18"/>
        </w:rPr>
        <w:t xml:space="preserve">: </w:t>
      </w:r>
      <w:proofErr w:type="spellStart"/>
      <w:r w:rsidRPr="006330AC">
        <w:rPr>
          <w:sz w:val="18"/>
          <w:szCs w:val="18"/>
        </w:rPr>
        <w:t>our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commitment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to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democracy</w:t>
      </w:r>
      <w:proofErr w:type="spellEnd"/>
      <w:r w:rsidRPr="006330AC">
        <w:rPr>
          <w:sz w:val="18"/>
          <w:szCs w:val="18"/>
        </w:rPr>
        <w:t xml:space="preserve">, </w:t>
      </w:r>
      <w:proofErr w:type="spellStart"/>
      <w:r w:rsidRPr="006330AC">
        <w:rPr>
          <w:sz w:val="18"/>
          <w:szCs w:val="18"/>
        </w:rPr>
        <w:t>the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rule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of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law</w:t>
      </w:r>
      <w:proofErr w:type="spellEnd"/>
      <w:r w:rsidRPr="006330AC">
        <w:rPr>
          <w:sz w:val="18"/>
          <w:szCs w:val="18"/>
        </w:rPr>
        <w:t xml:space="preserve">, </w:t>
      </w:r>
      <w:proofErr w:type="spellStart"/>
      <w:r w:rsidRPr="006330AC">
        <w:rPr>
          <w:sz w:val="18"/>
          <w:szCs w:val="18"/>
        </w:rPr>
        <w:t>good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go</w:t>
      </w:r>
      <w:r>
        <w:rPr>
          <w:sz w:val="18"/>
          <w:szCs w:val="18"/>
        </w:rPr>
        <w:t>vernance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freedom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expression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 w:rsidRPr="006330AC">
        <w:rPr>
          <w:sz w:val="18"/>
          <w:szCs w:val="18"/>
        </w:rPr>
        <w:t>and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the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protection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of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human</w:t>
      </w:r>
      <w:proofErr w:type="spellEnd"/>
      <w:r w:rsidRPr="006330AC">
        <w:rPr>
          <w:sz w:val="18"/>
          <w:szCs w:val="18"/>
        </w:rPr>
        <w:t xml:space="preserve"> </w:t>
      </w:r>
      <w:proofErr w:type="spellStart"/>
      <w:r w:rsidRPr="006330AC">
        <w:rPr>
          <w:sz w:val="18"/>
          <w:szCs w:val="18"/>
        </w:rPr>
        <w:t>rights</w:t>
      </w:r>
      <w:proofErr w:type="spellEnd"/>
      <w:r w:rsidRPr="006330AC">
        <w:rPr>
          <w:sz w:val="18"/>
          <w:szCs w:val="18"/>
        </w:rPr>
        <w:t>…."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9"/>
    <w:rsid w:val="000A26F0"/>
    <w:rsid w:val="0027323F"/>
    <w:rsid w:val="00554824"/>
    <w:rsid w:val="006330AC"/>
    <w:rsid w:val="00642C82"/>
    <w:rsid w:val="006B44F3"/>
    <w:rsid w:val="00746DE3"/>
    <w:rsid w:val="00C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44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44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44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44F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B44F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B4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46C1-7413-4330-B127-CCFC3F7E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Купач Дарина Андріївна</dc:creator>
  <cp:lastModifiedBy>Купач Дарина Андріївна</cp:lastModifiedBy>
  <cp:revision>3</cp:revision>
  <dcterms:created xsi:type="dcterms:W3CDTF">2022-09-15T11:48:00Z</dcterms:created>
  <dcterms:modified xsi:type="dcterms:W3CDTF">2022-09-15T12:16:00Z</dcterms:modified>
</cp:coreProperties>
</file>