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A1" w:rsidRPr="006B1BD1" w:rsidRDefault="008503FF" w:rsidP="00D43E41">
      <w:pPr>
        <w:pStyle w:val="a3"/>
        <w:spacing w:before="240" w:after="240"/>
        <w:ind w:left="57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946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618FF" wp14:editId="0D99DA9D">
                <wp:simplePos x="0" y="0"/>
                <wp:positionH relativeFrom="column">
                  <wp:posOffset>-1270</wp:posOffset>
                </wp:positionH>
                <wp:positionV relativeFrom="paragraph">
                  <wp:posOffset>66675</wp:posOffset>
                </wp:positionV>
                <wp:extent cx="2374265" cy="1403985"/>
                <wp:effectExtent l="0" t="0" r="825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3FF" w:rsidRPr="00984946" w:rsidRDefault="008503FF" w:rsidP="008503FF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  <w:r w:rsidRPr="00984946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>Неофіційний переклад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1pt;margin-top:5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" stroked="f">
                <v:textbox style="mso-fit-shape-to-text:t">
                  <w:txbxContent>
                    <w:p w:rsidR="008503FF" w:rsidRPr="00984946" w:rsidRDefault="008503FF" w:rsidP="008503FF">
                      <w:pP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  <w:r w:rsidRPr="00984946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Неофіційний переклад</w:t>
                      </w:r>
                    </w:p>
                  </w:txbxContent>
                </v:textbox>
              </v:shape>
            </w:pict>
          </mc:Fallback>
        </mc:AlternateContent>
      </w:r>
      <w:r w:rsidR="00D71DA1" w:rsidRPr="006B1BD1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460CBE3" wp14:editId="207AB057">
            <wp:extent cx="2343091" cy="845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091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DA1" w:rsidRPr="006B1BD1" w:rsidRDefault="00D71DA1" w:rsidP="00D43E41">
      <w:pPr>
        <w:pStyle w:val="a3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9566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2555"/>
        <w:gridCol w:w="1831"/>
        <w:gridCol w:w="3272"/>
        <w:gridCol w:w="1908"/>
      </w:tblGrid>
      <w:tr w:rsidR="00D71DA1" w:rsidRPr="006B1BD1" w:rsidTr="00D71DA1">
        <w:trPr>
          <w:trHeight w:val="630"/>
        </w:trPr>
        <w:tc>
          <w:tcPr>
            <w:tcW w:w="2555" w:type="dxa"/>
          </w:tcPr>
          <w:p w:rsidR="00D71DA1" w:rsidRPr="006B1BD1" w:rsidRDefault="00D71DA1" w:rsidP="00D43E41">
            <w:pPr>
              <w:pStyle w:val="TableParagraph"/>
              <w:spacing w:before="240" w:after="240"/>
              <w:ind w:left="0"/>
              <w:jc w:val="center"/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</w:pPr>
            <w:r w:rsidRPr="006B1BD1"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  <w:t>ЗАСТУПНИКИ МІНІСТРІВ</w:t>
            </w:r>
          </w:p>
        </w:tc>
        <w:tc>
          <w:tcPr>
            <w:tcW w:w="1831" w:type="dxa"/>
          </w:tcPr>
          <w:p w:rsidR="00D71DA1" w:rsidRPr="006B1BD1" w:rsidRDefault="00D71DA1" w:rsidP="00D43E41">
            <w:pPr>
              <w:pStyle w:val="TableParagraph"/>
              <w:spacing w:before="240" w:after="240"/>
              <w:ind w:left="0"/>
              <w:jc w:val="center"/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</w:pPr>
            <w:r w:rsidRPr="006B1BD1"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3272" w:type="dxa"/>
          </w:tcPr>
          <w:p w:rsidR="00D71DA1" w:rsidRPr="006B1BD1" w:rsidRDefault="00D71DA1" w:rsidP="00D43E41">
            <w:pPr>
              <w:pStyle w:val="TableParagraph"/>
              <w:spacing w:before="240" w:after="240"/>
              <w:ind w:left="0"/>
              <w:jc w:val="center"/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</w:pPr>
            <w:r w:rsidRPr="006B1BD1"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  <w:t>CM/Rec(2022)9</w:t>
            </w:r>
          </w:p>
        </w:tc>
        <w:tc>
          <w:tcPr>
            <w:tcW w:w="1908" w:type="dxa"/>
          </w:tcPr>
          <w:p w:rsidR="00D71DA1" w:rsidRPr="006B1BD1" w:rsidRDefault="00D71DA1" w:rsidP="00D43E41">
            <w:pPr>
              <w:pStyle w:val="TableParagraph"/>
              <w:spacing w:before="240" w:after="240"/>
              <w:ind w:left="0" w:right="-15"/>
              <w:jc w:val="center"/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</w:pPr>
            <w:r w:rsidRPr="006B1BD1"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  <w:t>30 березня 2022</w:t>
            </w:r>
          </w:p>
        </w:tc>
      </w:tr>
    </w:tbl>
    <w:p w:rsidR="00D71DA1" w:rsidRPr="006B1BD1" w:rsidRDefault="00D71DA1" w:rsidP="008503FF">
      <w:pPr>
        <w:pStyle w:val="a3"/>
        <w:spacing w:before="240" w:after="240"/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</w:pPr>
    </w:p>
    <w:p w:rsidR="00BF7B5C" w:rsidRPr="006B1BD1" w:rsidRDefault="00D71DA1" w:rsidP="008503FF">
      <w:pPr>
        <w:pStyle w:val="a5"/>
        <w:spacing w:before="120" w:after="120"/>
        <w:ind w:left="125" w:right="3685"/>
        <w:jc w:val="both"/>
        <w:rPr>
          <w:rFonts w:ascii="Times New Roman" w:eastAsia="Arial MT" w:hAnsi="Times New Roman" w:cs="Times New Roman"/>
          <w:b w:val="0"/>
          <w:spacing w:val="-3"/>
          <w:w w:val="105"/>
          <w:sz w:val="24"/>
          <w:szCs w:val="24"/>
          <w:lang w:val="uk-UA"/>
        </w:rPr>
      </w:pPr>
      <w:r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Рекомендація </w:t>
      </w:r>
      <w:r w:rsidRPr="006B1BD1">
        <w:rPr>
          <w:rFonts w:ascii="Times New Roman" w:eastAsia="Arial MT" w:hAnsi="Times New Roman" w:cs="Times New Roman"/>
          <w:spacing w:val="-3"/>
          <w:w w:val="105"/>
          <w:sz w:val="24"/>
          <w:szCs w:val="24"/>
          <w:lang w:val="uk-UA"/>
        </w:rPr>
        <w:t>CM/Rec(2022)9</w:t>
      </w:r>
      <w:r w:rsidR="00BF7B5C" w:rsidRPr="006B1BD1">
        <w:rPr>
          <w:rFonts w:ascii="Times New Roman" w:eastAsia="Arial MT" w:hAnsi="Times New Roman" w:cs="Times New Roman"/>
          <w:b w:val="0"/>
          <w:spacing w:val="-3"/>
          <w:w w:val="105"/>
          <w:sz w:val="24"/>
          <w:szCs w:val="24"/>
          <w:lang w:val="uk-UA"/>
        </w:rPr>
        <w:t xml:space="preserve"> </w:t>
      </w:r>
    </w:p>
    <w:p w:rsidR="00BF7B5C" w:rsidRPr="006B1BD1" w:rsidRDefault="00C10734" w:rsidP="008503FF">
      <w:pPr>
        <w:pStyle w:val="a5"/>
        <w:spacing w:before="120" w:after="120"/>
        <w:ind w:left="125" w:right="3685"/>
        <w:jc w:val="both"/>
        <w:rPr>
          <w:rFonts w:ascii="Times New Roman" w:eastAsia="Arial MT" w:hAnsi="Times New Roman" w:cs="Times New Roman"/>
          <w:b w:val="0"/>
          <w:spacing w:val="-3"/>
          <w:w w:val="105"/>
          <w:sz w:val="24"/>
          <w:szCs w:val="24"/>
          <w:lang w:val="uk-UA"/>
        </w:rPr>
      </w:pPr>
      <w:r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Комітету м</w:t>
      </w:r>
      <w:r w:rsidR="0098786A"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іністрів Д</w:t>
      </w:r>
      <w:r w:rsidR="00D71DA1"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ержавам-членам</w:t>
      </w:r>
    </w:p>
    <w:p w:rsidR="00D71DA1" w:rsidRPr="006B1BD1" w:rsidRDefault="00D71DA1" w:rsidP="008503FF">
      <w:pPr>
        <w:pStyle w:val="a5"/>
        <w:spacing w:before="120" w:after="120"/>
        <w:ind w:left="125" w:right="0"/>
        <w:jc w:val="both"/>
        <w:rPr>
          <w:rFonts w:ascii="Times New Roman" w:eastAsia="Arial MT" w:hAnsi="Times New Roman" w:cs="Times New Roman"/>
          <w:b w:val="0"/>
          <w:spacing w:val="-3"/>
          <w:w w:val="105"/>
          <w:sz w:val="24"/>
          <w:szCs w:val="24"/>
          <w:lang w:val="uk-UA"/>
        </w:rPr>
      </w:pPr>
      <w:r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Про захист свідків та </w:t>
      </w:r>
      <w:r w:rsidR="00BF7B5C"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осіб, які йдуть на співпрацю </w:t>
      </w:r>
      <w:r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з</w:t>
      </w:r>
      <w:r w:rsidR="00BF7B5C"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 </w:t>
      </w:r>
      <w:r w:rsidRPr="006B1BD1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органами правосуддя</w:t>
      </w:r>
    </w:p>
    <w:p w:rsidR="00D71DA1" w:rsidRPr="006B1BD1" w:rsidRDefault="00D71DA1" w:rsidP="00D43E41">
      <w:pPr>
        <w:pStyle w:val="a5"/>
        <w:spacing w:before="240" w:after="240"/>
        <w:ind w:right="1275"/>
        <w:jc w:val="both"/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</w:pPr>
    </w:p>
    <w:p w:rsidR="00D71DA1" w:rsidRPr="008503FF" w:rsidRDefault="00D71DA1" w:rsidP="00D43E41">
      <w:pPr>
        <w:spacing w:before="240" w:after="240"/>
        <w:ind w:left="126"/>
        <w:jc w:val="both"/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</w:pPr>
      <w:r w:rsidRPr="008503FF"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  <w:t>(Ухвалено Комітетом міністрів Ради Європи на 1430</w:t>
      </w:r>
      <w:r w:rsidR="00E81290" w:rsidRPr="008503FF"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  <w:t>-му</w:t>
      </w:r>
      <w:r w:rsidRPr="008503FF"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  <w:t xml:space="preserve"> засіданні заступників міністрів </w:t>
      </w:r>
      <w:r w:rsidRPr="008503FF"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  <w:br/>
        <w:t>30 березня 2022 року)</w:t>
      </w:r>
    </w:p>
    <w:p w:rsidR="00D71DA1" w:rsidRPr="006B1BD1" w:rsidRDefault="00D71DA1" w:rsidP="00D43E41">
      <w:pPr>
        <w:pStyle w:val="a3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CBAA29" wp14:editId="294BB559">
                <wp:simplePos x="0" y="0"/>
                <wp:positionH relativeFrom="page">
                  <wp:posOffset>744220</wp:posOffset>
                </wp:positionH>
                <wp:positionV relativeFrom="paragraph">
                  <wp:posOffset>161290</wp:posOffset>
                </wp:positionV>
                <wp:extent cx="6084570" cy="952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C0DF5F" id="Rectangle 2" o:spid="_x0000_s1026" style="position:absolute;margin-left:58.6pt;margin-top:12.7pt;width:479.1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aNcQIAAPk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747643" w:rsidRPr="006B1BD1" w:rsidRDefault="00C10734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Комітет м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іністрів, відповідно до статті 15.b Статуту Ради Європи,</w:t>
      </w:r>
    </w:p>
    <w:p w:rsidR="008B069F" w:rsidRPr="006B1BD1" w:rsidRDefault="008B069F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уваги, що метою Ради Європи є досягнення більшої єдності між її членами; </w:t>
      </w:r>
    </w:p>
    <w:p w:rsidR="00B95DA7" w:rsidRPr="006B1BD1" w:rsidRDefault="008B069F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95DA7" w:rsidRPr="006B1BD1">
        <w:rPr>
          <w:rFonts w:ascii="Times New Roman" w:hAnsi="Times New Roman" w:cs="Times New Roman"/>
          <w:sz w:val="24"/>
          <w:szCs w:val="24"/>
          <w:lang w:val="uk-UA"/>
        </w:rPr>
        <w:t>сві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домлюючи </w:t>
      </w:r>
      <w:r w:rsidR="00B95DA7" w:rsidRPr="006B1BD1">
        <w:rPr>
          <w:rFonts w:ascii="Times New Roman" w:hAnsi="Times New Roman" w:cs="Times New Roman"/>
          <w:sz w:val="24"/>
          <w:szCs w:val="24"/>
          <w:lang w:val="uk-UA"/>
        </w:rPr>
        <w:t>необхідність Держав-членів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розвивати спільну та скоординовану </w:t>
      </w:r>
      <w:r w:rsidR="00B95DA7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політику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у сфе</w:t>
      </w:r>
      <w:r w:rsidR="00B95DA7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рі боротьби зі злочинністю щодо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захисту свідків та осіб, які </w:t>
      </w:r>
      <w:r w:rsidR="00B95DA7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йдуть на 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>співпрацю</w:t>
      </w:r>
      <w:r w:rsidR="00B95DA7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92D62" w:rsidRPr="006B1BD1" w:rsidRDefault="00B95DA7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ідзначаючи, що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дедалі більше визнають особливу роль 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>свідків та осіб,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які йдуть на 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>співпрацю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у кримінальних провадженнях, і що їхні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показання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част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о мають вирішальне значення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>притягнення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правопорушників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до відповідальності,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особливо щодо тяжких 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>та інших кримінальних правопорушень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коли інші докази може бути важко отримати та/або коли 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>правопорушників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та організацію 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>правопорушень може мати вирішальне значення для притягнення до відповідальності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як виконавців, так і організаторів таких діянь;</w:t>
      </w:r>
    </w:p>
    <w:p w:rsidR="00E568CE" w:rsidRPr="006B1BD1" w:rsidRDefault="008B069F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Враховуючи, що 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>під час вчинення таких кримінальних правопорушень</w:t>
      </w:r>
      <w:r w:rsidR="00D43E4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A4142F" w:rsidRPr="006B1BD1">
        <w:rPr>
          <w:rFonts w:ascii="Times New Roman" w:hAnsi="Times New Roman" w:cs="Times New Roman"/>
          <w:sz w:val="24"/>
          <w:szCs w:val="24"/>
          <w:lang w:val="uk-UA"/>
        </w:rPr>
        <w:t>діяльність організованої групи, міжнародні злочини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, тероризм та ін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ші 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>правопорушення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>коли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злочинці 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>вдаються до погроз та насильства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як засо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568CE" w:rsidRPr="006B1B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примусу, зростає ризик того, що свідки будуть піддаватися залякуванню;</w:t>
      </w:r>
    </w:p>
    <w:p w:rsidR="00E568CE" w:rsidRPr="006B1BD1" w:rsidRDefault="008B069F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Враховуючи, що 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>підсумковий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звіт Міждисциплінарної групи з 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міжнародних дій проти тероризму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(GMT) та наступні рішення Комітету міністрів визнають захист свідків та осіб, </w:t>
      </w:r>
      <w:r w:rsidR="00E81290"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 з органами правосуддя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як пріоритетну сферу правової діяльності Ради Європи у боротьбі з тероризмом;</w:t>
      </w:r>
    </w:p>
    <w:p w:rsidR="001D6803" w:rsidRPr="006B1BD1" w:rsidRDefault="00E81290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Нагадуючи, що в Резолюції № 1 «П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ро боротьбу з міжнародним тероризмом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, ухваленій на 24-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й Конференції міністрів юстиції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Держав-членів Ради Європи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(Москва, </w:t>
      </w:r>
      <w:r w:rsidR="008503FF">
        <w:rPr>
          <w:rFonts w:ascii="Times New Roman" w:hAnsi="Times New Roman" w:cs="Times New Roman"/>
          <w:sz w:val="24"/>
          <w:szCs w:val="24"/>
          <w:lang w:val="uk-UA"/>
        </w:rPr>
        <w:br/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4-5 жовтня 2001 року), Комітету мін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істрів було запропоновано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без зволікань вжити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всіх нормативних заходів, які вважаються не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обхідними для надання допомоги Д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ержавам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-членам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у запобіганні, виявленні, переслідуванні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та покаранні за акти тероризму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наприклад, удосконалення механізму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захисту свідків та інших осіб, що беруть участь у судов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>их процесах</w:t>
      </w:r>
      <w:r w:rsidR="00D43E41">
        <w:rPr>
          <w:rFonts w:ascii="Times New Roman" w:hAnsi="Times New Roman" w:cs="Times New Roman"/>
          <w:sz w:val="24"/>
          <w:szCs w:val="24"/>
          <w:lang w:val="uk-UA"/>
        </w:rPr>
        <w:t>, в тому числі</w:t>
      </w:r>
      <w:r w:rsidR="00092D62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 участю осіб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, обвинувачених у вчиненні терористичних злочинів;</w:t>
      </w:r>
    </w:p>
    <w:p w:rsidR="00166DB4" w:rsidRPr="006B1BD1" w:rsidRDefault="00166DB4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Нагадуючи, що в Резолюції № 1 </w:t>
      </w:r>
      <w:r w:rsidR="002C0310" w:rsidRPr="006B1BD1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ро боротьбу з тероризмом</w:t>
      </w:r>
      <w:r w:rsidR="002C0310" w:rsidRPr="006B1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0310" w:rsidRPr="006B1BD1">
        <w:rPr>
          <w:rFonts w:ascii="Times New Roman" w:hAnsi="Times New Roman" w:cs="Times New Roman"/>
          <w:sz w:val="24"/>
          <w:szCs w:val="24"/>
          <w:lang w:val="uk-UA"/>
        </w:rPr>
        <w:t>ухваленій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на 25-й </w:t>
      </w:r>
      <w:r w:rsidR="002C0310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Конференції міністрів юстиції Держав-членів Ради Європи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(Софія, 9-10 жовтня 2003 року), Комітету міністрів було запропоновано, серед іншого, невідкладно продовжити роботу з метою прийняття відповідних міжнародних документів щодо захисту свідків та осіб, </w:t>
      </w:r>
      <w:r w:rsidR="00A50556" w:rsidRPr="006B1BD1">
        <w:rPr>
          <w:rFonts w:ascii="Times New Roman" w:hAnsi="Times New Roman" w:cs="Times New Roman"/>
          <w:sz w:val="24"/>
          <w:szCs w:val="24"/>
          <w:lang w:val="uk-UA"/>
        </w:rPr>
        <w:t>які йдуть на співпрацю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4499F" w:rsidRPr="006B1BD1" w:rsidRDefault="00653B7E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6803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8503FF">
        <w:rPr>
          <w:rFonts w:ascii="Times New Roman" w:hAnsi="Times New Roman" w:cs="Times New Roman"/>
          <w:sz w:val="24"/>
          <w:szCs w:val="24"/>
          <w:lang w:val="uk-UA"/>
        </w:rPr>
        <w:t>ереконаними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>, що, хоча всі</w:t>
      </w:r>
      <w:r w:rsidR="001D6803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803" w:rsidRPr="006B1BD1">
        <w:rPr>
          <w:rFonts w:ascii="Times New Roman" w:hAnsi="Times New Roman" w:cs="Times New Roman"/>
          <w:sz w:val="24"/>
          <w:szCs w:val="24"/>
          <w:lang w:val="uk-UA"/>
        </w:rPr>
        <w:t>мають громадянський обов’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язок давати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правдиві</w:t>
      </w:r>
      <w:r w:rsidR="001D6803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показання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як свідки, якщо цього вимагають норми 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кримінального правосуддя, слід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домогтися більшого визнання їхніх прав, проблем та потреб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серед</w:t>
      </w:r>
      <w:r w:rsidR="00471FF6">
        <w:rPr>
          <w:rFonts w:ascii="Times New Roman" w:hAnsi="Times New Roman" w:cs="Times New Roman"/>
          <w:sz w:val="24"/>
          <w:szCs w:val="24"/>
          <w:lang w:val="uk-UA"/>
        </w:rPr>
        <w:t xml:space="preserve"> яких</w:t>
      </w:r>
      <w:r w:rsidR="00471FF6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право не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зазнавати будь-якого непомірного втручання та права не наражати себе на ризик</w:t>
      </w:r>
      <w:r w:rsidR="0034499F"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0310" w:rsidRPr="006B1BD1" w:rsidRDefault="0034499F" w:rsidP="00D43E41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Враховуючи, що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на Д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ержави-члени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покладено обов’язок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захищати свідків і осіб, які </w:t>
      </w:r>
      <w:r w:rsidR="00166DB4"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правосуддя, від такого втручання шляхом </w:t>
      </w:r>
      <w:r w:rsidR="00A44EBC" w:rsidRPr="006B1BD1">
        <w:rPr>
          <w:rFonts w:ascii="Times New Roman" w:hAnsi="Times New Roman" w:cs="Times New Roman"/>
          <w:sz w:val="24"/>
          <w:szCs w:val="24"/>
          <w:lang w:val="uk-UA"/>
        </w:rPr>
        <w:t>поширення на них особливих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заході</w:t>
      </w:r>
      <w:r w:rsidR="002C0310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 захисту, </w:t>
      </w:r>
      <w:r w:rsidR="00A44EBC" w:rsidRPr="006B1BD1">
        <w:rPr>
          <w:rFonts w:ascii="Times New Roman" w:hAnsi="Times New Roman" w:cs="Times New Roman"/>
          <w:sz w:val="24"/>
          <w:szCs w:val="24"/>
          <w:lang w:val="uk-UA"/>
        </w:rPr>
        <w:t>призначених створити ефе</w:t>
      </w:r>
      <w:r w:rsidR="002C0310" w:rsidRPr="006B1BD1">
        <w:rPr>
          <w:rFonts w:ascii="Times New Roman" w:hAnsi="Times New Roman" w:cs="Times New Roman"/>
          <w:sz w:val="24"/>
          <w:szCs w:val="24"/>
          <w:lang w:val="uk-UA"/>
        </w:rPr>
        <w:t>ктивні гарантії їхньої безпеки;</w:t>
      </w:r>
    </w:p>
    <w:p w:rsidR="00153343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особливі потреби вразливих свідків, таких як 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потерпілі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у тому числі 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потерпілі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сексуального та гендерно-зумовленого насильства, неповнолітні та свідки з медичними або особливими потребами;</w:t>
      </w:r>
    </w:p>
    <w:p w:rsidR="00153343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Вважаючи, що система кримінального правосуддя не має права на поразку у притягненні правопорушників до відповідальності, оскільки </w:t>
      </w:r>
      <w:r w:rsidR="00BB6134" w:rsidRPr="006B1BD1">
        <w:rPr>
          <w:rFonts w:ascii="Times New Roman" w:hAnsi="Times New Roman" w:cs="Times New Roman"/>
          <w:sz w:val="24"/>
          <w:szCs w:val="24"/>
          <w:lang w:val="uk-UA"/>
        </w:rPr>
        <w:t>свідків або осіб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які йдуть на співпрацю з органами правосуддя, фактично </w:t>
      </w:r>
      <w:r w:rsidR="00E42B66" w:rsidRPr="006B1BD1">
        <w:rPr>
          <w:rFonts w:ascii="Times New Roman" w:hAnsi="Times New Roman" w:cs="Times New Roman"/>
          <w:sz w:val="24"/>
          <w:szCs w:val="24"/>
          <w:lang w:val="uk-UA"/>
        </w:rPr>
        <w:t>позбавлено</w:t>
      </w:r>
      <w:r w:rsidR="00BB61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бажання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надавати відповідну інформацію та </w:t>
      </w:r>
      <w:r w:rsidR="00BB6134" w:rsidRPr="006B1BD1">
        <w:rPr>
          <w:rFonts w:ascii="Times New Roman" w:hAnsi="Times New Roman" w:cs="Times New Roman"/>
          <w:sz w:val="24"/>
          <w:szCs w:val="24"/>
          <w:lang w:val="uk-UA"/>
        </w:rPr>
        <w:t>вільно давати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правдиві </w:t>
      </w:r>
      <w:r w:rsidR="00BB6134" w:rsidRPr="006B1BD1">
        <w:rPr>
          <w:rFonts w:ascii="Times New Roman" w:hAnsi="Times New Roman" w:cs="Times New Roman"/>
          <w:sz w:val="24"/>
          <w:szCs w:val="24"/>
          <w:lang w:val="uk-UA"/>
        </w:rPr>
        <w:t>показання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343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Відзначаючи, що таке </w:t>
      </w:r>
      <w:r w:rsidR="00BB61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знеохочення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може бути спричинене відсутністю довіри до системи кримінального правосуддя та нездатністю забезпечити належний захист і гарантії для свідків та осіб, які </w:t>
      </w:r>
      <w:r w:rsidR="00BB6134"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343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Усвідомлюючи, що захист свідків і осіб, 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вимагає конфіденційності та 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>пересвідчення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протягом усього судового процесу і що слід докладати зусиль для забезпечення ефективних заходів, спрямованих на запобігання спробам розшуку свідків і осіб, які 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зокрема, злочинними організаціями, </w:t>
      </w:r>
      <w:r w:rsidR="00E50D92"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</w:t>
      </w:r>
      <w:r w:rsidR="00E50D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43E41">
        <w:rPr>
          <w:rFonts w:ascii="Times New Roman" w:hAnsi="Times New Roman" w:cs="Times New Roman"/>
          <w:sz w:val="24"/>
          <w:szCs w:val="24"/>
          <w:lang w:val="uk-UA"/>
        </w:rPr>
        <w:t xml:space="preserve"> терористичними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E50D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53343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Усвідомлюючи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>, що,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широким використанням соціальних мереж і нових технологій, у тому числі біометричних та інших технологій, за допомогою яких можна ідентифікувати або викрити </w:t>
      </w:r>
      <w:r w:rsidR="00800F8E" w:rsidRPr="006B1BD1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виникають </w:t>
      </w:r>
      <w:r w:rsidR="00800F8E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нові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виклики </w:t>
      </w:r>
      <w:r w:rsidR="0090146D" w:rsidRPr="006B1BD1">
        <w:rPr>
          <w:rFonts w:ascii="Times New Roman" w:hAnsi="Times New Roman" w:cs="Times New Roman"/>
          <w:sz w:val="24"/>
          <w:szCs w:val="24"/>
          <w:lang w:val="uk-UA"/>
        </w:rPr>
        <w:t>перед захистом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свідків і осіб, які співпрацю</w:t>
      </w:r>
      <w:r w:rsidR="00615F26" w:rsidRPr="006B1BD1">
        <w:rPr>
          <w:rFonts w:ascii="Times New Roman" w:hAnsi="Times New Roman" w:cs="Times New Roman"/>
          <w:sz w:val="24"/>
          <w:szCs w:val="24"/>
          <w:lang w:val="uk-UA"/>
        </w:rPr>
        <w:t>ють із правосуддям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53343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Усвідомлюючи відмінності </w:t>
      </w:r>
      <w:r w:rsidR="00800F8E" w:rsidRPr="006B1BD1">
        <w:rPr>
          <w:rFonts w:ascii="Times New Roman" w:hAnsi="Times New Roman" w:cs="Times New Roman"/>
          <w:sz w:val="24"/>
          <w:szCs w:val="24"/>
          <w:lang w:val="uk-UA"/>
        </w:rPr>
        <w:t>правових систем і процедур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держав-членів щодо захисту свідків і осіб, </w:t>
      </w:r>
      <w:r w:rsidR="00F37731" w:rsidRPr="006B1BD1">
        <w:rPr>
          <w:rFonts w:ascii="Times New Roman" w:hAnsi="Times New Roman" w:cs="Times New Roman"/>
          <w:sz w:val="24"/>
          <w:szCs w:val="24"/>
          <w:lang w:val="uk-UA"/>
        </w:rPr>
        <w:t>які йдуть на співпрацю з органами правосуддя</w:t>
      </w:r>
      <w:r w:rsidR="00800F8E" w:rsidRPr="006B1BD1">
        <w:rPr>
          <w:rFonts w:ascii="Times New Roman" w:hAnsi="Times New Roman" w:cs="Times New Roman"/>
          <w:sz w:val="24"/>
          <w:szCs w:val="24"/>
          <w:lang w:val="uk-UA"/>
        </w:rPr>
        <w:t>, і, таким чином,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підкреслюючи постійну потребу в подальшій гармонізації і зміцненні міжнародного співробітництва та обміну передовим </w:t>
      </w:r>
      <w:r w:rsidR="00F37731" w:rsidRPr="006B1BD1">
        <w:rPr>
          <w:rFonts w:ascii="Times New Roman" w:hAnsi="Times New Roman" w:cs="Times New Roman"/>
          <w:sz w:val="24"/>
          <w:szCs w:val="24"/>
          <w:lang w:val="uk-UA"/>
        </w:rPr>
        <w:t>досвідом у питаннях, пов’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язаних із захистом свідків і осіб, які </w:t>
      </w:r>
      <w:r w:rsidR="00F37731"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, з метою прийняття загальних принципів і стандартів, а також сумісних процедур і практик;</w:t>
      </w:r>
    </w:p>
    <w:p w:rsidR="003623A4" w:rsidRPr="006B1BD1" w:rsidRDefault="00F37731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lastRenderedPageBreak/>
        <w:t>Б</w:t>
      </w:r>
      <w:r w:rsidR="00153343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еручи до уваги положення Європейської конвенції з прав людини (ETS № 5) та прецедентне право Європейського суду з прав людини, 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 яких визнається </w:t>
      </w:r>
      <w:r w:rsidR="00153343" w:rsidRPr="006B1BD1">
        <w:rPr>
          <w:rFonts w:ascii="Times New Roman" w:hAnsi="Times New Roman" w:cs="Times New Roman"/>
          <w:sz w:val="24"/>
          <w:szCs w:val="24"/>
          <w:lang w:val="uk-UA"/>
        </w:rPr>
        <w:t>право захисту на допит свідка та оскарження його/її показань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C0310" w:rsidRPr="006B1BD1" w:rsidRDefault="00153343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Враховуючи, що стандарти, які містяться в Ре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>комендації Rec(2005)9 Комітету м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іністрів Ради Європи Д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ержавам-членам 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«Щ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одо захисту свідків та осіб, які співпрацюють з правосуддя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м»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потребують перегляду та оновлення з метою відображення змін, які відбулися у сфері захисту свідків та осіб, 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які йдуть на співпрацю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в Європі, 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вирішення деяких нових викликів, спричинених розвитком інформаційних, біометричних та комунікаційних технологій;</w:t>
      </w:r>
    </w:p>
    <w:p w:rsidR="00BB6134" w:rsidRPr="006B1BD1" w:rsidRDefault="00773B5A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Зважаючи на:</w:t>
      </w:r>
    </w:p>
    <w:p w:rsidR="00773B5A" w:rsidRPr="006B1BD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Рекомендацію </w:t>
      </w:r>
      <w:hyperlink r:id="rId9" w:history="1"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CM/</w:t>
        </w:r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(2012)4</w:t>
        </w:r>
      </w:hyperlink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Ради Європи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Державам-членам «Щодо захисту прав людини у зв’язку з послугами соціальних мереж»; </w:t>
      </w:r>
    </w:p>
    <w:p w:rsidR="00773B5A" w:rsidRPr="006B1BD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Рекомендацію </w:t>
      </w:r>
      <w:hyperlink r:id="rId10" w:history="1"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CM/</w:t>
        </w:r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</w:t>
        </w:r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2012)3</w:t>
        </w:r>
      </w:hyperlink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Ради Європи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Державам-членам «Щодо захисту прав людини у зв’язку з пошуковими системами»;</w:t>
      </w:r>
    </w:p>
    <w:p w:rsidR="00773B5A" w:rsidRPr="006B1BD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Рекомендацію </w:t>
      </w:r>
      <w:hyperlink r:id="rId11" w:history="1"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(2006</w:t>
        </w:r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)</w:t>
        </w:r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8</w:t>
        </w:r>
      </w:hyperlink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Ради Європи </w:t>
      </w:r>
      <w:r w:rsidR="00F85353">
        <w:rPr>
          <w:rFonts w:ascii="Times New Roman" w:hAnsi="Times New Roman" w:cs="Times New Roman"/>
          <w:sz w:val="24"/>
          <w:szCs w:val="24"/>
          <w:lang w:val="uk-UA"/>
        </w:rPr>
        <w:t>Державам-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членам «Щодо надання допомоги потерпілим від злочинів»;</w:t>
      </w:r>
    </w:p>
    <w:p w:rsidR="00773B5A" w:rsidRPr="006B1BD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Рекомендацію </w:t>
      </w:r>
      <w:hyperlink r:id="rId12" w:history="1"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</w:t>
        </w:r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99)5</w:t>
        </w:r>
      </w:hyperlink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Ради Європи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Державам-членам 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>«Щодо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захист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права на приватність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в Інтернеті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3B5A" w:rsidRPr="006B1BD1" w:rsidRDefault="00C10734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Рекомендацію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proofErr w:type="spellStart"/>
        <w:r w:rsidR="00773B5A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="00773B5A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</w:t>
        </w:r>
        <w:r w:rsidR="00773B5A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9</w:t>
        </w:r>
        <w:r w:rsidR="00773B5A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7)13</w:t>
        </w:r>
      </w:hyperlink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міністрі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Ради Європи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ержавам-членам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«Щ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одо залякування свідків та прав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а на захист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, зокрема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щодо заходів, яких слід вживати стосовно вразливих свідків, особливо у випадках злочинів у сім'ї;</w:t>
      </w:r>
    </w:p>
    <w:p w:rsidR="00FF55E8" w:rsidRPr="006B1BD1" w:rsidRDefault="00C10734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Рекомендація </w:t>
      </w:r>
      <w:hyperlink r:id="rId14" w:history="1"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(96)8</w:t>
        </w:r>
      </w:hyperlink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Ради Європи 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ержавам-членам </w:t>
      </w:r>
      <w:r w:rsidR="005044C8" w:rsidRPr="006B1BD1">
        <w:rPr>
          <w:rFonts w:ascii="Times New Roman" w:hAnsi="Times New Roman" w:cs="Times New Roman"/>
          <w:sz w:val="24"/>
          <w:szCs w:val="24"/>
          <w:lang w:val="uk-UA"/>
        </w:rPr>
        <w:t>«Щ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одо </w:t>
      </w:r>
      <w:r w:rsidR="005044C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кримінальної 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політики в Європі в </w:t>
      </w:r>
      <w:r w:rsidR="005044C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перехідний 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r w:rsidR="005044C8" w:rsidRPr="006B1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3B5A" w:rsidRPr="006B1BD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екомендація </w:t>
      </w:r>
      <w:hyperlink r:id="rId15" w:history="1">
        <w:proofErr w:type="spellStart"/>
        <w:r w:rsidR="00C10734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="00C10734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(91)11</w:t>
        </w:r>
      </w:hyperlink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>Ради Європи Д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ержавам-членам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«Щодо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сексуальної експлуатації, порнографії, проституції та торгівлі дітьми та </w:t>
      </w:r>
      <w:r w:rsidR="00FF55E8" w:rsidRPr="006B1BD1">
        <w:rPr>
          <w:rFonts w:ascii="Times New Roman" w:hAnsi="Times New Roman" w:cs="Times New Roman"/>
          <w:sz w:val="24"/>
          <w:szCs w:val="24"/>
          <w:lang w:val="uk-UA"/>
        </w:rPr>
        <w:t>неповнолітніми»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3B5A" w:rsidRPr="006B1BD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екомендація </w:t>
      </w:r>
      <w:hyperlink r:id="rId16" w:history="1">
        <w:proofErr w:type="spellStart"/>
        <w:r w:rsidR="00C10734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="00C10734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</w:t>
        </w:r>
        <w:r w:rsidR="00C10734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8</w:t>
        </w:r>
        <w:r w:rsidR="00C10734"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7)21</w:t>
        </w:r>
      </w:hyperlink>
      <w:r w:rsidR="00C1073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Ради Європи Д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ержавам-членам 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«Щ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одо допомоги 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потерпілим від злочинів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та запобігання віктимізації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3B5A" w:rsidRPr="006B1BD1" w:rsidRDefault="00C10734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Рекомендація </w:t>
      </w:r>
      <w:hyperlink r:id="rId17" w:history="1"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(85)4</w:t>
        </w:r>
      </w:hyperlink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іністрів 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Ради Європи Державам-членам «Щодо насильства в сім’</w:t>
      </w:r>
      <w:r w:rsidR="00773B5A" w:rsidRPr="006B1BD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3623A4" w:rsidRPr="00D43E41" w:rsidRDefault="00773B5A" w:rsidP="00D6450E">
      <w:pPr>
        <w:pStyle w:val="ab"/>
        <w:widowControl/>
        <w:numPr>
          <w:ilvl w:val="0"/>
          <w:numId w:val="4"/>
        </w:numPr>
        <w:autoSpaceDE/>
        <w:autoSpaceDN/>
        <w:spacing w:before="240" w:after="240" w:line="259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Рекомендація </w:t>
      </w:r>
      <w:hyperlink r:id="rId18" w:history="1">
        <w:proofErr w:type="spellStart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Rec</w:t>
        </w:r>
        <w:proofErr w:type="spellEnd"/>
        <w:r w:rsidRPr="006B1BD1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(85)11</w:t>
        </w:r>
      </w:hyperlink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Комітету міністрів 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Ради Європи Державам-членам «Щодо положення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потерпілого в рамках кримінального права і 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кримінального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процесу</w:t>
      </w:r>
      <w:r w:rsidR="00A75D42" w:rsidRPr="006B1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23A4" w:rsidRPr="006B1BD1" w:rsidRDefault="003623A4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План дій Ради Європи 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по боротьбі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транснаціональною організованою злочинністю (2016-2020 рр.);</w:t>
      </w:r>
    </w:p>
    <w:p w:rsidR="003623A4" w:rsidRPr="006B1BD1" w:rsidRDefault="00E50D92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Замінює</w:t>
      </w:r>
      <w:r w:rsidRPr="00E50D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текстом цієї Рекомендації Рекомендацію Rec(2005)9 Комітету Міністрів 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Ради Європи Д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ержавам-членам 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«Щодо захисту свідків та осіб, які співпрацюють з правосуддям»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3A4" w:rsidRPr="006B1BD1" w:rsidRDefault="0047360B" w:rsidP="00D43E41">
      <w:pPr>
        <w:widowControl/>
        <w:autoSpaceDE/>
        <w:autoSpaceDN/>
        <w:spacing w:before="240" w:after="24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u w:val="single"/>
          <w:lang w:val="uk-UA"/>
        </w:rPr>
        <w:t>Рекомендує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урядам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3623A4" w:rsidRPr="006B1BD1">
        <w:rPr>
          <w:rFonts w:ascii="Times New Roman" w:hAnsi="Times New Roman" w:cs="Times New Roman"/>
          <w:sz w:val="24"/>
          <w:szCs w:val="24"/>
          <w:lang w:val="uk-UA"/>
        </w:rPr>
        <w:t>ержав-членів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7360B" w:rsidRPr="006B1BD1" w:rsidRDefault="003623A4" w:rsidP="00D6450E">
      <w:pPr>
        <w:pStyle w:val="ab"/>
        <w:widowControl/>
        <w:numPr>
          <w:ilvl w:val="0"/>
          <w:numId w:val="3"/>
        </w:numPr>
        <w:autoSpaceDE/>
        <w:autoSpaceDN/>
        <w:spacing w:before="240" w:after="24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керуватися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, при розробці норм свого внутрішнього законодавства та перегляді своєї кримінальної політики і процесу, принципами і заходами, викладеними в Додатку до цієї Рекомендації;</w:t>
      </w:r>
    </w:p>
    <w:p w:rsidR="003623A4" w:rsidRPr="006B1BD1" w:rsidRDefault="003623A4" w:rsidP="00D6450E">
      <w:pPr>
        <w:pStyle w:val="ab"/>
        <w:widowControl/>
        <w:numPr>
          <w:ilvl w:val="0"/>
          <w:numId w:val="3"/>
        </w:numPr>
        <w:autoSpaceDE/>
        <w:autoSpaceDN/>
        <w:spacing w:before="240" w:after="24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поширення необхідної інформації про ці принципи та заходи серед усіх зацікавлених органів, таких як судові органи, слідчі органи та органи прокуратури,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підрозділи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6BF" w:rsidRPr="006B1BD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захисту свідків, асоціації адвокатів, а також відповідні соціальні та міжнародні інституції</w:t>
      </w:r>
      <w:r w:rsidR="0047360B" w:rsidRPr="006B1B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7B5C" w:rsidRPr="006B1BD1" w:rsidRDefault="00BF7B5C" w:rsidP="00D43E41">
      <w:pPr>
        <w:widowControl/>
        <w:autoSpaceDE/>
        <w:autoSpaceDN/>
        <w:spacing w:before="240" w:after="240" w:line="259" w:lineRule="auto"/>
        <w:jc w:val="both"/>
        <w:rPr>
          <w:lang w:val="uk-UA"/>
        </w:rPr>
      </w:pPr>
      <w:r w:rsidRPr="006B1BD1">
        <w:rPr>
          <w:lang w:val="uk-UA"/>
        </w:rPr>
        <w:br w:type="page"/>
      </w:r>
    </w:p>
    <w:p w:rsidR="00BF7B5C" w:rsidRPr="00D43E41" w:rsidRDefault="00BF7B5C" w:rsidP="00D43E41">
      <w:pPr>
        <w:spacing w:before="240" w:after="240"/>
        <w:ind w:left="851" w:hanging="851"/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Додаток до Рекомендації </w:t>
      </w:r>
      <w:r w:rsidRPr="006B1BD1">
        <w:rPr>
          <w:rFonts w:ascii="Times New Roman" w:hAnsi="Times New Roman" w:cs="Times New Roman"/>
          <w:i/>
          <w:spacing w:val="-3"/>
          <w:w w:val="105"/>
          <w:sz w:val="24"/>
          <w:szCs w:val="24"/>
          <w:lang w:val="uk-UA"/>
        </w:rPr>
        <w:t>CM/Rec(2022)9</w:t>
      </w:r>
    </w:p>
    <w:p w:rsidR="00BF7B5C" w:rsidRPr="006B1BD1" w:rsidRDefault="00BF7B5C" w:rsidP="00D43E41">
      <w:pPr>
        <w:pStyle w:val="ab"/>
        <w:numPr>
          <w:ilvl w:val="0"/>
          <w:numId w:val="1"/>
        </w:numPr>
        <w:spacing w:before="240" w:after="24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b/>
          <w:sz w:val="24"/>
          <w:szCs w:val="24"/>
          <w:lang w:val="uk-UA"/>
        </w:rPr>
        <w:t>Визначення</w:t>
      </w:r>
    </w:p>
    <w:p w:rsidR="00BF7B5C" w:rsidRDefault="00BF7B5C" w:rsidP="00D43E41">
      <w:pPr>
        <w:pStyle w:val="ab"/>
        <w:spacing w:before="240" w:after="240"/>
        <w:ind w:left="851" w:hanging="85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0D92" w:rsidRDefault="00E50D92" w:rsidP="00D43E41">
      <w:pPr>
        <w:pStyle w:val="ab"/>
        <w:spacing w:before="240" w:after="240"/>
        <w:ind w:left="851" w:hanging="851"/>
        <w:rPr>
          <w:rFonts w:ascii="Times New Roman" w:hAnsi="Times New Roman" w:cs="Times New Roman"/>
          <w:sz w:val="24"/>
          <w:szCs w:val="24"/>
          <w:lang w:val="uk-UA"/>
        </w:rPr>
      </w:pPr>
      <w:r w:rsidRPr="00E50D92">
        <w:rPr>
          <w:rFonts w:ascii="Times New Roman" w:hAnsi="Times New Roman" w:cs="Times New Roman"/>
          <w:sz w:val="24"/>
          <w:szCs w:val="24"/>
          <w:lang w:val="uk-UA"/>
        </w:rPr>
        <w:t>Для цілей цієї Рекомендації термін:</w:t>
      </w:r>
    </w:p>
    <w:p w:rsidR="002F4E35" w:rsidRPr="00E50D92" w:rsidRDefault="002F4E35" w:rsidP="00D43E41">
      <w:pPr>
        <w:pStyle w:val="ab"/>
        <w:spacing w:before="240" w:after="240"/>
        <w:ind w:left="851" w:hanging="851"/>
        <w:rPr>
          <w:rFonts w:ascii="Times New Roman" w:hAnsi="Times New Roman" w:cs="Times New Roman"/>
          <w:sz w:val="24"/>
          <w:szCs w:val="24"/>
          <w:lang w:val="uk-UA"/>
        </w:rPr>
      </w:pPr>
    </w:p>
    <w:p w:rsidR="00BF7B5C" w:rsidRPr="006B1BD1" w:rsidRDefault="00BF7B5C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«свідок»</w:t>
      </w:r>
      <w:r w:rsidR="00FB3F1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означає будь-яку особу, які</w:t>
      </w:r>
      <w:r w:rsidR="0098786A" w:rsidRPr="006B1BD1">
        <w:rPr>
          <w:rFonts w:ascii="Times New Roman" w:hAnsi="Times New Roman" w:cs="Times New Roman"/>
          <w:sz w:val="24"/>
          <w:szCs w:val="24"/>
          <w:lang w:val="uk-UA"/>
        </w:rPr>
        <w:t>й відомі обставини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786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що мають значення для кримінального провадження,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про яке вона дала та/або може дати </w:t>
      </w:r>
      <w:r w:rsidR="00FB3F14" w:rsidRPr="006B1BD1">
        <w:rPr>
          <w:rFonts w:ascii="Times New Roman" w:hAnsi="Times New Roman" w:cs="Times New Roman"/>
          <w:sz w:val="24"/>
          <w:szCs w:val="24"/>
          <w:lang w:val="uk-UA"/>
        </w:rPr>
        <w:t>показання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(незалежно від її статусу та прямої чи </w:t>
      </w:r>
      <w:r w:rsidR="00FB3F14" w:rsidRPr="006B1BD1">
        <w:rPr>
          <w:rFonts w:ascii="Times New Roman" w:hAnsi="Times New Roman" w:cs="Times New Roman"/>
          <w:sz w:val="24"/>
          <w:szCs w:val="24"/>
          <w:lang w:val="uk-UA"/>
        </w:rPr>
        <w:t>опосередкованої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усної чи письмової форми </w:t>
      </w:r>
      <w:r w:rsidR="00FB3F14" w:rsidRPr="006B1BD1">
        <w:rPr>
          <w:rFonts w:ascii="Times New Roman" w:hAnsi="Times New Roman" w:cs="Times New Roman"/>
          <w:sz w:val="24"/>
          <w:szCs w:val="24"/>
          <w:lang w:val="uk-UA"/>
        </w:rPr>
        <w:t>показань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національного законодавства), і </w:t>
      </w:r>
      <w:r w:rsidR="00FB3F1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яка не підпадає під </w:t>
      </w:r>
      <w:r w:rsidR="00FB3F14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визначення «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</w:t>
      </w:r>
      <w:r w:rsidR="00FB3F14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а, яка </w:t>
      </w:r>
      <w:r w:rsidR="0098786A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йде на співпрацю з органами правосуддя</w:t>
      </w:r>
      <w:r w:rsidR="00FB3F14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8C0FC2" w:rsidRPr="006B1BD1" w:rsidRDefault="008C0FC2" w:rsidP="00D6450E">
      <w:pPr>
        <w:pStyle w:val="ab"/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43E41" w:rsidRPr="00D6450E" w:rsidRDefault="00A839A4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«особа, яка йде на співпрацю</w:t>
      </w:r>
      <w:r w:rsidR="00D6450E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 </w:t>
      </w:r>
      <w:r w:rsid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співпрацює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органами правосуддя»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начає будь-яку особу, якій пред’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>явлено кримінальне обвинувачення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або яку було 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>засуджено за участь у злочинній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>спільноті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чи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будь-якій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іншій злочинній організації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>за вчинення кримінальних правопорушень організованою групою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але яка погоджується співпрацювати з органами кримінального правосуддя, зокрема,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шляхом нада</w:t>
      </w:r>
      <w:r w:rsidR="00A40BBA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ння показань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про злочинну спільноту або організацію,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або про будь-яке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кримінальне правопорушення, пов’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язане з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діяльністю організованих груп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або про інші тяжкі </w:t>
      </w:r>
      <w:r w:rsidR="008B069F" w:rsidRPr="006B1BD1">
        <w:rPr>
          <w:rFonts w:ascii="Times New Roman" w:hAnsi="Times New Roman" w:cs="Times New Roman"/>
          <w:sz w:val="24"/>
          <w:szCs w:val="24"/>
          <w:lang w:val="uk-UA"/>
        </w:rPr>
        <w:t>кримінальні правопорушення</w:t>
      </w:r>
      <w:r w:rsidR="00BF7B5C"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43E41" w:rsidRPr="00D43E41" w:rsidRDefault="00D43E41" w:rsidP="00D6450E">
      <w:pPr>
        <w:pStyle w:val="ab"/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3E41" w:rsidRPr="00D43E41" w:rsidRDefault="008B5E3C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«потерпілий» означає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будь-яку фізичну особу, якій завдано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шкоди, в тому числі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фізичні або психічні травми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, емоційні страждання або економічні втрати, спричинені діями або бездіяльністю, що поруш</w:t>
      </w:r>
      <w:r w:rsidR="00DC6A8A" w:rsidRPr="006B1BD1">
        <w:rPr>
          <w:rFonts w:ascii="Times New Roman" w:hAnsi="Times New Roman" w:cs="Times New Roman"/>
          <w:sz w:val="24"/>
          <w:szCs w:val="24"/>
          <w:lang w:val="uk-UA"/>
        </w:rPr>
        <w:t>ують кримінальне законодавство Держави-члена. Термін «потерпілий»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також включає, де це доречно, найближчих родичів або утриманців безпосередньої жертви в тій мірі,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в якій їм нанесено шкоду;</w:t>
      </w:r>
    </w:p>
    <w:p w:rsidR="00D43E41" w:rsidRPr="00D43E41" w:rsidRDefault="00D43E41" w:rsidP="00D6450E">
      <w:pPr>
        <w:pStyle w:val="ab"/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3E41" w:rsidRPr="00D43E41" w:rsidRDefault="00EC7896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«залякування» означає будь-яку пряму або непряму погрозу, що здійснюється або може бути здійснена </w:t>
      </w:r>
      <w:r w:rsidR="008C0FC2" w:rsidRPr="006B1BD1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свідка або особи, яка </w:t>
      </w:r>
      <w:r w:rsidR="008C0FC2" w:rsidRPr="006B1BD1">
        <w:rPr>
          <w:rFonts w:ascii="Times New Roman" w:hAnsi="Times New Roman" w:cs="Times New Roman"/>
          <w:sz w:val="24"/>
          <w:szCs w:val="24"/>
          <w:lang w:val="uk-UA"/>
        </w:rPr>
        <w:t>йде на співпрацю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правосуддя, </w:t>
      </w:r>
      <w:r w:rsidR="009D2B18" w:rsidRPr="006B1BD1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може призвести до </w:t>
      </w:r>
      <w:r w:rsidR="009D2B18" w:rsidRPr="006B1BD1">
        <w:rPr>
          <w:rFonts w:ascii="Times New Roman" w:hAnsi="Times New Roman" w:cs="Times New Roman"/>
          <w:sz w:val="24"/>
          <w:szCs w:val="24"/>
          <w:lang w:val="uk-UA"/>
        </w:rPr>
        <w:t>його/ її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2B18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знеохочення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давати показання без неправомірного втручання, або </w:t>
      </w:r>
      <w:r w:rsidR="009D2B18" w:rsidRPr="006B1BD1">
        <w:rPr>
          <w:rFonts w:ascii="Times New Roman" w:hAnsi="Times New Roman" w:cs="Times New Roman"/>
          <w:sz w:val="24"/>
          <w:szCs w:val="24"/>
          <w:lang w:val="uk-UA"/>
        </w:rPr>
        <w:t>що є наслідком надання нім/ нею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показань;</w:t>
      </w:r>
    </w:p>
    <w:p w:rsidR="00D43E41" w:rsidRPr="00D43E41" w:rsidRDefault="00D43E41" w:rsidP="00D6450E">
      <w:pPr>
        <w:pStyle w:val="ab"/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2B18" w:rsidRPr="006B1BD1" w:rsidRDefault="009D2B18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«оцінка загрози»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означає процес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, за допомогою якого розуміють природу загрози, і</w:t>
      </w:r>
      <w:r w:rsidR="00D606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серед іншого, визначають та вивчають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потенційне джерело (джерела) загрози, можливість, схильність та історію насильства, а також потенційне або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навмисне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застосування будь-якої форми насильства, залякування або втручання щодо потенційних свідків та осіб, які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йдуть на співпрацю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правосуддя, незалежно від того, чи було завдано фактичної шкоди чи ні;</w:t>
      </w:r>
    </w:p>
    <w:p w:rsidR="009D2B18" w:rsidRPr="006B1BD1" w:rsidRDefault="009D2B18" w:rsidP="00D6450E">
      <w:pPr>
        <w:pStyle w:val="ab"/>
        <w:spacing w:before="240" w:after="24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D324CB" w:rsidRPr="006B1BD1" w:rsidRDefault="009D2B18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«оцінка ризику»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означає процес, 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>за допомогою якого розуміють природу ризику, і</w:t>
      </w:r>
      <w:r w:rsidR="00D606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серед іншого, визначають та вивчають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ймовірність і наслідки 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>втілення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загрози, а також характер, серйозність і структ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>уру правопорушень, про які відомо особі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, що підлягає захисту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>; визначають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рівень 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цієї особи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участі в розслідуванні та/або справі, значимість внеску, серйозність залякування та обставин</w:t>
      </w:r>
      <w:r w:rsidR="00D324CB" w:rsidRPr="006B1BD1">
        <w:rPr>
          <w:rFonts w:ascii="Times New Roman" w:hAnsi="Times New Roman" w:cs="Times New Roman"/>
          <w:sz w:val="24"/>
          <w:szCs w:val="24"/>
          <w:lang w:val="uk-UA"/>
        </w:rPr>
        <w:t>и, які сприяють цим факторам. Оцінка ризику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є основою для прийняття відповідних рішень та дій, спрямованих на зменшення ризику;</w:t>
      </w:r>
    </w:p>
    <w:p w:rsidR="00D324CB" w:rsidRPr="006B1BD1" w:rsidRDefault="00D324CB" w:rsidP="00D6450E">
      <w:pPr>
        <w:pStyle w:val="ab"/>
        <w:spacing w:before="240" w:after="24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D324CB" w:rsidRPr="006B1BD1" w:rsidRDefault="00D324CB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«анонімність»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означає, що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персональні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дані свідка або особи, яка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йде на співпрацю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>органами правосуддя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за загальним правилом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не розголошуються протилежній стороні або громадськості;</w:t>
      </w:r>
      <w:r w:rsidR="002F4E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24CB" w:rsidRPr="006B1BD1" w:rsidRDefault="00D324CB" w:rsidP="00D6450E">
      <w:pPr>
        <w:pStyle w:val="ab"/>
        <w:spacing w:before="240" w:after="24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2B1164" w:rsidRPr="006B1BD1" w:rsidRDefault="00D324CB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«близькі свідків і осіб, які йдуть на співпрацю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F4E3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родичі та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інші особи, які перебувають у близьких стосунках зі свідками і особами, які співпрацюють 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>органами правосуддя, наприклад,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чоловік/дружина</w:t>
      </w:r>
      <w:r w:rsidR="00D6450E">
        <w:rPr>
          <w:rFonts w:ascii="Times New Roman" w:hAnsi="Times New Roman" w:cs="Times New Roman"/>
          <w:sz w:val="24"/>
          <w:szCs w:val="24"/>
          <w:lang w:val="uk-UA"/>
        </w:rPr>
        <w:t xml:space="preserve"> (особи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>, які спільно проживають, але не перебувають у шлюбі)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, діти, онуки, батьки, брати і сестри;</w:t>
      </w:r>
    </w:p>
    <w:p w:rsidR="002B1164" w:rsidRPr="006B1BD1" w:rsidRDefault="002B1164" w:rsidP="00D6450E">
      <w:pPr>
        <w:pStyle w:val="ab"/>
        <w:spacing w:before="240" w:after="24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2B1164" w:rsidRPr="006B1BD1" w:rsidRDefault="002B1164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«заходи захисту» означає 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всі індивідуальні процесуальні або непроцесуальні заходи, спрямовані на захист свідка або особи, яка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йде на співпрацю з органами правосуддя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, від будь-якого залякування та/або будь-яких небезпечних наслідкі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6450E">
        <w:rPr>
          <w:rFonts w:ascii="Times New Roman" w:hAnsi="Times New Roman" w:cs="Times New Roman"/>
          <w:sz w:val="24"/>
          <w:szCs w:val="24"/>
          <w:lang w:val="uk-UA"/>
        </w:rPr>
        <w:t xml:space="preserve"> з приводу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рішення співпрацювати з органами правосуддя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1164" w:rsidRPr="006B1BD1" w:rsidRDefault="002B1164" w:rsidP="00D6450E">
      <w:pPr>
        <w:pStyle w:val="ab"/>
        <w:spacing w:before="240" w:after="24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2B1164" w:rsidRPr="006B1BD1" w:rsidRDefault="002B1164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«програма захисту»</w:t>
      </w:r>
      <w:r w:rsidR="00EC7896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означає формалізований комплекс індивідуальних заходів захисту, адаптований до потреб особи, загрози та ризику, який може бути, наприклад, описаний у меморандумі про взаєморозуміння, підписаному відповідальними органами та свідком або особою, яка співпрацює з правосуддям, що перебуває під захистом;</w:t>
      </w:r>
      <w:r w:rsidRPr="006B1BD1">
        <w:rPr>
          <w:lang w:val="uk-UA"/>
        </w:rPr>
        <w:t xml:space="preserve"> </w:t>
      </w:r>
    </w:p>
    <w:p w:rsidR="002B1164" w:rsidRPr="006B1BD1" w:rsidRDefault="002B1164" w:rsidP="00D6450E">
      <w:pPr>
        <w:pStyle w:val="ab"/>
        <w:spacing w:before="240" w:after="240"/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C7896" w:rsidRPr="006B1BD1" w:rsidRDefault="000A16BF" w:rsidP="00D6450E">
      <w:pPr>
        <w:pStyle w:val="ab"/>
        <w:numPr>
          <w:ilvl w:val="0"/>
          <w:numId w:val="2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підрозділ (підрозділи)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із захисту свідків»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означає компетентний національний орга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н (або органи), відповідальний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за здійснення, координацію та нагляд за захистом свідків, осіб, які співпрацюють з органами правосуддя, та інших осіб, яким надано статус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осіб під захистом 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згідно з національним законодавством,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здійснювати програми захисту. Він повинен відповідати за оцінку загрози та ризику для учасників програми та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забезпечувати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конфіденційність</w:t>
      </w:r>
      <w:r w:rsidR="002B1164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програми, її процедур та учасників. Він сприяє інтеграції захищених осіб у нове середовище з метою їхньої подальшої самодостатності, пропонуючи доступ до правової, професійної, освітньої, психологічної, соціальної та технологічної допомоги, а також, у разі необхідності, до догляду та фінансової допомоги, з належним урахуванням конфіденційності та цілісності програми.</w:t>
      </w:r>
    </w:p>
    <w:p w:rsidR="000A16BF" w:rsidRPr="006B1BD1" w:rsidRDefault="000A16BF" w:rsidP="00D43E41">
      <w:pPr>
        <w:pStyle w:val="ab"/>
        <w:spacing w:before="240" w:after="240"/>
        <w:rPr>
          <w:rFonts w:ascii="Times New Roman" w:hAnsi="Times New Roman" w:cs="Times New Roman"/>
          <w:sz w:val="24"/>
          <w:szCs w:val="24"/>
          <w:lang w:val="uk-UA"/>
        </w:rPr>
      </w:pPr>
    </w:p>
    <w:p w:rsidR="000A16BF" w:rsidRPr="006B1BD1" w:rsidRDefault="000A16BF" w:rsidP="00D43E41">
      <w:pPr>
        <w:pStyle w:val="ab"/>
        <w:numPr>
          <w:ilvl w:val="0"/>
          <w:numId w:val="1"/>
        </w:numPr>
        <w:spacing w:before="240" w:after="24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b/>
          <w:sz w:val="24"/>
          <w:szCs w:val="24"/>
          <w:lang w:val="uk-UA"/>
        </w:rPr>
        <w:t>Загальні принципи</w:t>
      </w:r>
    </w:p>
    <w:p w:rsidR="000A16BF" w:rsidRPr="006B1BD1" w:rsidRDefault="000A16BF" w:rsidP="00D43E41">
      <w:pPr>
        <w:pStyle w:val="ab"/>
        <w:spacing w:before="240" w:after="24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16BF" w:rsidRPr="006B1BD1" w:rsidRDefault="00016F1D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Слід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вжити відповідних законодавчих та практичних заходів для забезпечення того, щоб с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відки та особи, які йдуть на співпрацю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органами правосуддя, могли вільно повідомляти про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кримінальні правопорушення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інформувати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давати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показання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не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зазнаючи будь-якого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залякування.</w:t>
      </w:r>
    </w:p>
    <w:p w:rsidR="000A16BF" w:rsidRPr="006B1BD1" w:rsidRDefault="000A16BF" w:rsidP="00D6450E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A16BF" w:rsidRPr="006B1BD1" w:rsidRDefault="000A16BF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Поважаючи права захисту, слід організовувати захист свідків, осіб, які </w:t>
      </w:r>
      <w:r w:rsidR="00016F1D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йдуть на співпрацю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органами правосуддя, та </w:t>
      </w:r>
      <w:r w:rsidR="00016F1D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їхніх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близьких, </w:t>
      </w:r>
      <w:r w:rsidR="00016F1D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разі необхідності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до, під час та після судового розгляду.</w:t>
      </w:r>
    </w:p>
    <w:p w:rsidR="000A16BF" w:rsidRPr="006B1BD1" w:rsidRDefault="000A16BF" w:rsidP="00D6450E">
      <w:pPr>
        <w:pStyle w:val="ab"/>
        <w:spacing w:before="240" w:after="24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A16BF" w:rsidRPr="006B1BD1" w:rsidRDefault="00016F1D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алякування свідків, осіб, які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йдуть на співпрацю 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органами правосуддя 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їхніх 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близьких повинні, за необхідності, каратися або як окремі кримінальні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правопорушення</w:t>
      </w:r>
      <w:r w:rsid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або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ознака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складу такого правопорушення, як застосування неправомірних погроз.</w:t>
      </w:r>
    </w:p>
    <w:p w:rsidR="000A16BF" w:rsidRPr="006B1BD1" w:rsidRDefault="000A16BF" w:rsidP="00D6450E">
      <w:pPr>
        <w:pStyle w:val="ab"/>
        <w:spacing w:before="240" w:after="24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A13C2" w:rsidRPr="006B1BD1" w:rsidRDefault="000A16BF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урахуванням правових привілеїв, що надають деяким особам право відмовитися від дачі показань, слід заохочувати свідків та осіб, які співпрацюють з органами правосуддя, повідомляти будь-яку відповідну інформацію про кримінальні правопорушення компетентним органам, а потім погоджуватися давати показання в суді.</w:t>
      </w:r>
    </w:p>
    <w:p w:rsidR="007A13C2" w:rsidRPr="006B1BD1" w:rsidRDefault="007A13C2" w:rsidP="00D6450E">
      <w:pPr>
        <w:pStyle w:val="ab"/>
        <w:spacing w:before="240" w:after="24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A16BF" w:rsidRPr="006B1BD1" w:rsidRDefault="000A16BF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Беручи до уваги принцип вільної оцінки судом доказів та поваги до прав захисту, процесуальне законодавство повинно передбачати можливість врахування впливу залякування на показання, а заяви, зроблені на досудовому слідстві, повинні бути дозволені (та/або використані) в суді.</w:t>
      </w:r>
    </w:p>
    <w:p w:rsidR="000A16BF" w:rsidRPr="006B1BD1" w:rsidRDefault="000A16BF" w:rsidP="00D6450E">
      <w:pPr>
        <w:pStyle w:val="ab"/>
        <w:spacing w:before="240" w:after="24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A16BF" w:rsidRPr="006B1BD1" w:rsidRDefault="000A16BF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Поважаючи права захисту, слід розглянути альтернативні методи надання </w:t>
      </w:r>
      <w:r w:rsidR="005B2589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доказів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B2589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 </w:t>
      </w:r>
      <w:r w:rsidR="005B2589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яких буде забезпечено захист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свідків та осіб, які співпрацюють з пр</w:t>
      </w:r>
      <w:r w:rsidR="005B2589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авосуддям, від залякування, що виникає внаслідок прямої конфронтації з обвинуваченим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та забезпечити </w:t>
      </w:r>
      <w:r w:rsidR="005B2589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їхню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доступ</w:t>
      </w:r>
      <w:r w:rsidR="005B2589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ність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разі необхідності.</w:t>
      </w:r>
    </w:p>
    <w:p w:rsidR="000A16BF" w:rsidRPr="006B1BD1" w:rsidRDefault="000A16BF" w:rsidP="00D6450E">
      <w:pPr>
        <w:pStyle w:val="ab"/>
        <w:spacing w:before="240" w:after="240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6450E" w:rsidRDefault="005B2589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Персонал органів 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кримінального правосуддя,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 проведенні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оцінки загроз і ри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зиків та надання захисту свідкам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повинен мати належну підготовку та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керівні документи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дій у випадках, коли свідкам або особам, які співпрацюють з органами правосуддя, можуть знадобитися заходи чи програми захисту або інші відповідні заходи підтримки чи запевнення для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надання</w:t>
      </w:r>
      <w:r w:rsidR="000A16B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показань.</w:t>
      </w:r>
    </w:p>
    <w:p w:rsidR="00D6450E" w:rsidRPr="00D6450E" w:rsidRDefault="00D6450E" w:rsidP="00D6450E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6450E" w:rsidRDefault="004266C1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Усі етапи процедури, пов’</w:t>
      </w:r>
      <w:r w:rsidR="000A16BF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язані з</w:t>
      </w:r>
      <w:r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прийняттям, здійсненням, зміненням</w:t>
      </w:r>
      <w:r w:rsidR="000A16BF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скасуванням заходів або програм захисту, повинні бути конфіденційними; за несанкціоноване розголошення цієї захищеної інформації слід передбачити кримінальну відповідальність, особливо для </w:t>
      </w:r>
      <w:r w:rsidR="007A4411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гарантування</w:t>
      </w:r>
      <w:r w:rsidR="000A16BF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безпеки особи, яка перебуває під захистом, і запобігання безкарності та подальшому незаконному розголошенню і втручанню в процес кримінального правосуддя.</w:t>
      </w:r>
    </w:p>
    <w:p w:rsidR="00D6450E" w:rsidRPr="00D6450E" w:rsidRDefault="00D6450E" w:rsidP="00D6450E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A16BF" w:rsidRPr="00D6450E" w:rsidRDefault="000A16BF" w:rsidP="00D6450E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 прийнятті заходів або програм захисту слід також враховувати необхідність </w:t>
      </w:r>
      <w:r w:rsidR="004266C1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досягнути</w:t>
      </w:r>
      <w:r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належного балансу </w:t>
      </w:r>
      <w:r w:rsidR="004266C1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</w:t>
      </w:r>
      <w:r w:rsidR="004266C1"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нципом захисту прав та очікуваннями</w:t>
      </w:r>
      <w:r w:rsidRPr="00D645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потерпілих.</w:t>
      </w:r>
    </w:p>
    <w:p w:rsidR="00F7666E" w:rsidRPr="006B1BD1" w:rsidRDefault="00F7666E" w:rsidP="00D43E41">
      <w:pPr>
        <w:pStyle w:val="ab"/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F7666E" w:rsidRPr="006B1BD1" w:rsidRDefault="00F7666E" w:rsidP="007A4411">
      <w:pPr>
        <w:pStyle w:val="ab"/>
        <w:numPr>
          <w:ilvl w:val="0"/>
          <w:numId w:val="1"/>
        </w:numPr>
        <w:spacing w:before="240" w:after="24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b/>
          <w:sz w:val="24"/>
          <w:szCs w:val="24"/>
          <w:lang w:val="uk-UA"/>
        </w:rPr>
        <w:t>Заходи та програми захисту</w:t>
      </w:r>
    </w:p>
    <w:p w:rsidR="00F7666E" w:rsidRPr="006B1BD1" w:rsidRDefault="00F7666E" w:rsidP="00D43E41">
      <w:pPr>
        <w:pStyle w:val="ab"/>
        <w:spacing w:before="240" w:after="24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2589" w:rsidRPr="006B1BD1" w:rsidRDefault="005B2589" w:rsidP="007A4411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При розробці або оновленні системи заходів для боротьби з </w:t>
      </w:r>
      <w:r w:rsidR="00DF3A93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тяжкими кримінальними правопорушеннями, в тому числі пов’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язаними з організованою злочинністю, міжнародною злочинністю, тероризмом та іншими формами </w:t>
      </w:r>
      <w:r w:rsidR="00DF3A93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кримінальних правопорушень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де злочинці </w:t>
      </w:r>
      <w:r w:rsidR="00DF3A93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вдаються до погроз і насильства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 зас</w:t>
      </w:r>
      <w:r w:rsidR="00DF3A93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обу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примусу, слід вжити належних заходів для захисту свідків і осіб, які співпрацюють з органами правосуддя, від залякування, втручання або заподіяння шкоди.</w:t>
      </w:r>
    </w:p>
    <w:p w:rsidR="00DF3A93" w:rsidRPr="006B1BD1" w:rsidRDefault="00DF3A93" w:rsidP="007A4411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A4411" w:rsidRPr="007A4411" w:rsidRDefault="00DF3A93" w:rsidP="007A4411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Жодні правопорушення, пов’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язані з тероризмом, не повинні виключатися зі складу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правопорушень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щодо яких передбачаються спеціальні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заходи/програми захисту свідків.</w:t>
      </w:r>
    </w:p>
    <w:p w:rsidR="007A4411" w:rsidRPr="007A4411" w:rsidRDefault="007A4411" w:rsidP="007A4411">
      <w:pPr>
        <w:pStyle w:val="ab"/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589" w:rsidRPr="006B1BD1" w:rsidRDefault="005B2589" w:rsidP="00D43E41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Право на заходи та програми захисту</w:t>
      </w:r>
    </w:p>
    <w:p w:rsidR="00DF3A93" w:rsidRPr="006B1BD1" w:rsidRDefault="00DF3A93" w:rsidP="00D43E41">
      <w:pPr>
        <w:pStyle w:val="ab"/>
        <w:spacing w:before="240" w:after="240"/>
        <w:ind w:left="140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589" w:rsidRPr="006B1BD1" w:rsidRDefault="005B2589" w:rsidP="007A4411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При вирішенні питання про </w:t>
      </w:r>
      <w:r w:rsidR="00A97B47" w:rsidRPr="006B1BD1">
        <w:rPr>
          <w:rFonts w:ascii="Times New Roman" w:hAnsi="Times New Roman" w:cs="Times New Roman"/>
          <w:sz w:val="24"/>
          <w:szCs w:val="24"/>
          <w:lang w:val="uk-UA"/>
        </w:rPr>
        <w:t>те, чи має свідок або особа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яка співпрацює з органами правосуддя, </w:t>
      </w:r>
      <w:r w:rsidR="00A97B47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право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на заходи або програми захисту слід, серед іншого, брати до уваги </w:t>
      </w:r>
      <w:r w:rsidR="00A97B47" w:rsidRPr="006B1BD1"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критерії</w:t>
      </w:r>
      <w:r w:rsidR="00A97B47" w:rsidRPr="006B1BD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B2589" w:rsidRPr="006B1BD1" w:rsidRDefault="00A97B47" w:rsidP="007A4411">
      <w:pPr>
        <w:pStyle w:val="ab"/>
        <w:numPr>
          <w:ilvl w:val="0"/>
          <w:numId w:val="9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залученість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особи, яка підлягає захисту (як потерпілий, свідок, співучасник,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підбурювач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або пособник), у розслідуванні та/або у справі</w:t>
      </w:r>
      <w:r w:rsidR="005521DF" w:rsidRPr="006B1BD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B2589" w:rsidRPr="006B1BD1" w:rsidRDefault="005521DF" w:rsidP="007A4411">
      <w:pPr>
        <w:pStyle w:val="ab"/>
        <w:numPr>
          <w:ilvl w:val="0"/>
          <w:numId w:val="9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значущість її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внеску;</w:t>
      </w:r>
    </w:p>
    <w:p w:rsidR="005B2589" w:rsidRPr="006B1BD1" w:rsidRDefault="005B2589" w:rsidP="007A4411">
      <w:pPr>
        <w:pStyle w:val="ab"/>
        <w:numPr>
          <w:ilvl w:val="0"/>
          <w:numId w:val="9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серйозність правопорушення;</w:t>
      </w:r>
    </w:p>
    <w:p w:rsidR="005B2589" w:rsidRPr="006B1BD1" w:rsidRDefault="005B2589" w:rsidP="007A4411">
      <w:pPr>
        <w:pStyle w:val="ab"/>
        <w:numPr>
          <w:ilvl w:val="0"/>
          <w:numId w:val="9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серйозність залякування та погроз;</w:t>
      </w:r>
    </w:p>
    <w:p w:rsidR="005B2589" w:rsidRPr="006B1BD1" w:rsidRDefault="005B2589" w:rsidP="007A4411">
      <w:pPr>
        <w:pStyle w:val="ab"/>
        <w:numPr>
          <w:ilvl w:val="0"/>
          <w:numId w:val="9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готовність і </w:t>
      </w:r>
      <w:r w:rsidR="005521DF" w:rsidRPr="006B1BD1">
        <w:rPr>
          <w:rFonts w:ascii="Times New Roman" w:hAnsi="Times New Roman" w:cs="Times New Roman"/>
          <w:sz w:val="24"/>
          <w:szCs w:val="24"/>
          <w:lang w:val="uk-UA"/>
        </w:rPr>
        <w:t>відповідність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21DF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умовам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до застосування заходів чи програм захисту;</w:t>
      </w:r>
    </w:p>
    <w:p w:rsidR="005B2589" w:rsidRPr="006B1BD1" w:rsidRDefault="005B2589" w:rsidP="007A4411">
      <w:pPr>
        <w:pStyle w:val="ab"/>
        <w:numPr>
          <w:ilvl w:val="0"/>
          <w:numId w:val="9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ризик для програми та </w:t>
      </w:r>
      <w:r w:rsidR="005521DF" w:rsidRPr="006B1BD1">
        <w:rPr>
          <w:rFonts w:ascii="Times New Roman" w:hAnsi="Times New Roman" w:cs="Times New Roman"/>
          <w:sz w:val="24"/>
          <w:szCs w:val="24"/>
          <w:lang w:val="uk-UA"/>
        </w:rPr>
        <w:t>спільноти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21DF" w:rsidRPr="006B1BD1" w:rsidRDefault="005521DF" w:rsidP="00D43E41">
      <w:pPr>
        <w:pStyle w:val="ab"/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589" w:rsidRDefault="005521DF" w:rsidP="007A4411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Ухвалюючи 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рішення про вжиття заходів захисту та оцінці критеріїв, зазначених у пункті 12, слід </w:t>
      </w:r>
      <w:r w:rsidR="00F27D2C" w:rsidRPr="006B1BD1">
        <w:rPr>
          <w:rFonts w:ascii="Times New Roman" w:hAnsi="Times New Roman" w:cs="Times New Roman"/>
          <w:sz w:val="24"/>
          <w:szCs w:val="24"/>
          <w:lang w:val="uk-UA"/>
        </w:rPr>
        <w:t>враховувати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чи є інформація або показання, надані свідком або особою, яка співпрацює з органами правосуддя, суттєвими для справи, або чи </w:t>
      </w:r>
      <w:r w:rsidR="00F27D2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вважається 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>інша інформація або докази, які не потребують піддавати свідка або особу, яка співпрацює з ор</w:t>
      </w:r>
      <w:r w:rsidR="00F27D2C"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ганами правосуддя, ризику, </w:t>
      </w:r>
      <w:r w:rsidR="005B2589" w:rsidRPr="006B1BD1">
        <w:rPr>
          <w:rFonts w:ascii="Times New Roman" w:hAnsi="Times New Roman" w:cs="Times New Roman"/>
          <w:sz w:val="24"/>
          <w:szCs w:val="24"/>
          <w:lang w:val="uk-UA"/>
        </w:rPr>
        <w:t>достатніми для доведення вини у справі.</w:t>
      </w:r>
    </w:p>
    <w:p w:rsidR="007A4411" w:rsidRPr="006B1BD1" w:rsidRDefault="007A4411" w:rsidP="007A4411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D2C" w:rsidRPr="006B1BD1" w:rsidRDefault="00F27D2C" w:rsidP="00D43E41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Обсяг заходів і програм захисту та їх застосування</w:t>
      </w:r>
    </w:p>
    <w:p w:rsidR="005521DF" w:rsidRPr="006B1BD1" w:rsidRDefault="005521DF" w:rsidP="00D43E41">
      <w:pPr>
        <w:pStyle w:val="ab"/>
        <w:spacing w:before="240" w:after="240"/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Default="00F27D2C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Слід забезпечити пропорційність між характером заходів захисту та серйозністю залякування і загрози для свідка або особи, яка співпрацює з органами правосуддя.</w:t>
      </w:r>
    </w:p>
    <w:p w:rsidR="00E32C99" w:rsidRDefault="00E32C99" w:rsidP="00E32C99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Pr="00A67E0F" w:rsidRDefault="000170E4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С</w:t>
      </w:r>
      <w:r w:rsidR="00BE39AF" w:rsidRPr="00A67E0F">
        <w:rPr>
          <w:rFonts w:ascii="Times New Roman" w:hAnsi="Times New Roman" w:cs="Times New Roman"/>
          <w:sz w:val="24"/>
          <w:szCs w:val="24"/>
          <w:lang w:val="uk-UA"/>
        </w:rPr>
        <w:t>відкам або особам, які співпрацюють з органами правосуддя, які піддаються залякуванням та погрозам однакового роду, слід забезпечити право на однаковий захист</w:t>
      </w:r>
      <w:r w:rsidR="00A67E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39AF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7D2C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Однак будь-які заходи/програми захисту повинні враховувати конкретні особливості справи та індивідуальні потреби особи (осіб), які підлягають захисту. Особливу увагу та заходи захисту слід приділяти вразливим </w:t>
      </w:r>
      <w:r w:rsidR="00BE39AF" w:rsidRPr="00A67E0F">
        <w:rPr>
          <w:rFonts w:ascii="Times New Roman" w:hAnsi="Times New Roman" w:cs="Times New Roman"/>
          <w:sz w:val="24"/>
          <w:szCs w:val="24"/>
          <w:lang w:val="uk-UA"/>
        </w:rPr>
        <w:t>свідкам</w:t>
      </w:r>
      <w:r w:rsidR="00F27D2C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39AF" w:rsidRPr="00A67E0F">
        <w:rPr>
          <w:rFonts w:ascii="Times New Roman" w:hAnsi="Times New Roman" w:cs="Times New Roman"/>
          <w:sz w:val="24"/>
          <w:szCs w:val="24"/>
          <w:lang w:val="uk-UA"/>
        </w:rPr>
        <w:t>наприклад,</w:t>
      </w:r>
      <w:r w:rsidR="00F27D2C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39AF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потерпілі</w:t>
      </w:r>
      <w:r w:rsidR="00F27D2C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у тому числі потерпілі сексуального та гендерно-зумовленого насильства</w:t>
      </w:r>
      <w:r w:rsidR="00F27D2C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, неповнолітні та свідки з медичними або особливими потребами.</w:t>
      </w:r>
    </w:p>
    <w:p w:rsidR="00A67E0F" w:rsidRPr="00A67E0F" w:rsidRDefault="00A67E0F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Pr="00A67E0F" w:rsidRDefault="00F27D2C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Процесуальні норми, спрямовані на захист свідків та осіб, які співпрацюють з органами правосуддя, повинні забезпечувати дотримання необхідного в демократичному суспільстві балансу між запобіганням злочинам, потребами свідків, осіб, які співпрацюють з органами правосуддя, та потерпілих, а також забезпеченням права на справедливий судовий розгляд.</w:t>
      </w:r>
    </w:p>
    <w:p w:rsidR="00A67E0F" w:rsidRPr="00A67E0F" w:rsidRDefault="00A67E0F" w:rsidP="00A67E0F">
      <w:pPr>
        <w:pStyle w:val="ab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F27D2C" w:rsidRPr="00A67E0F" w:rsidRDefault="00F27D2C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Забезпечуючи сторонам належну можливість оскаржити показання, надані свідк</w:t>
      </w:r>
      <w:r w:rsidR="00D54F3C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ом або особою, яка співпрацює з органами правосуддя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, можна, серед іншого, розглянути такі заходи захисту, спрямовані на запобігання </w:t>
      </w:r>
      <w:r w:rsidR="00D54F3C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розкриття особи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сві</w:t>
      </w:r>
      <w:r w:rsidR="00D54F3C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дка або особи, яка співпрацює з органами правосуддя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, до, під час та після кримінального провадження</w:t>
      </w:r>
      <w:r w:rsidR="00D54F3C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, як-от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:</w:t>
      </w:r>
    </w:p>
    <w:p w:rsidR="000170E4" w:rsidRPr="006B1BD1" w:rsidRDefault="000170E4" w:rsidP="00D43E41">
      <w:pPr>
        <w:pStyle w:val="ab"/>
        <w:spacing w:before="240" w:after="24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uk-UA"/>
        </w:rPr>
      </w:pPr>
    </w:p>
    <w:p w:rsidR="00F27D2C" w:rsidRPr="006B1BD1" w:rsidRDefault="00F27D2C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</w:t>
      </w:r>
      <w:r w:rsidR="00D54F3C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вигаданих імен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зміна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персональних даних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протягом усього кримінального провадження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F27D2C" w:rsidRPr="006B1BD1" w:rsidRDefault="0036672E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запис</w:t>
      </w:r>
      <w:r w:rsidR="00F27D2C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 допомогою аудіовізуальних засобів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показань свідків та осіб</w:t>
      </w:r>
      <w:r w:rsidR="00F27D2C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які співпрацюють з органами правосуддя, під час попередньої стадії провадження;</w:t>
      </w:r>
    </w:p>
    <w:p w:rsidR="00F27D2C" w:rsidRPr="006B1BD1" w:rsidRDefault="00F27D2C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використання показань, наданих на досудовому провадженні, як доказів у суді у випадках, ко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ли свідок не може з’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явитися до суду або коли його явка до суду може спричинити реальну небезпеку для свідка чи особи, яка співпрацює з правосуддям, або 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їхніх 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близьких; досудові показання повинні розглядатися як належні докази, 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сторони мають або мали можливість брати участь у допиті й/або в перехресному допиті свідка й обговорювати зміст показань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F27D2C" w:rsidRPr="006B1BD1" w:rsidRDefault="00F27D2C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розкриття </w:t>
      </w:r>
      <w:r w:rsidR="0036672E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відомостей</w:t>
      </w:r>
      <w:r w:rsidR="00271DC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що дозволяють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71DC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встановити особу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свідка або особу, яка </w:t>
      </w:r>
      <w:r w:rsidR="00271DC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йде на співпрацю з органами правосуддя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на найпізнішому можливому етапі провадження, коли ризик втручання може бути меншим або коли вживаються додаткові заходи, та/або розкриття лише окремих деталей;</w:t>
      </w:r>
    </w:p>
    <w:p w:rsidR="00F27D2C" w:rsidRPr="006B1BD1" w:rsidRDefault="00F27D2C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виключення або обмеження доступу засобів масової інформації та/або громадськості до всього судового процесу або його частини, наприклад, шляхом проведення частини слухань на закритих засіданнях, якщо це необхідно для захисту особи свідка або особи, яка співпрацює з</w:t>
      </w:r>
      <w:r w:rsidR="00271DC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органами правосуддя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F27D2C" w:rsidRPr="006B1BD1" w:rsidRDefault="00F27D2C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засобів, що перешкоджають фізичній ідентифікації свідків та осіб, які співпрацюють з </w:t>
      </w:r>
      <w:r w:rsidR="00271DC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органами </w:t>
      </w:r>
      <w:r w:rsidR="00A67E0F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правосуддя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наприклад, використання ширм або завіс, маскування обличчя свідка або спотворення голосу;</w:t>
      </w:r>
    </w:p>
    <w:p w:rsidR="00F27D2C" w:rsidRPr="006B1BD1" w:rsidRDefault="00F27D2C" w:rsidP="00A67E0F">
      <w:pPr>
        <w:pStyle w:val="ab"/>
        <w:numPr>
          <w:ilvl w:val="0"/>
          <w:numId w:val="10"/>
        </w:numPr>
        <w:spacing w:before="240" w:after="240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всіх доступних засобів, </w:t>
      </w:r>
      <w:r w:rsidR="006B1BD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доступних завдяки інформаційно-комунікаційним технологіям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з національним законодавством та нормативно-правовими актами щодо процедури та доказів, для сприяння захисту свідків та осіб, які співпрацюють з </w:t>
      </w:r>
      <w:r w:rsidR="006B1BD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органами правосуддя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6B1BD1"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тому числі</w:t>
      </w:r>
      <w:r w:rsidRPr="006B1B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відеоконференції.</w:t>
      </w:r>
    </w:p>
    <w:p w:rsidR="006B1BD1" w:rsidRPr="006B1BD1" w:rsidRDefault="006B1BD1" w:rsidP="00D43E41">
      <w:pPr>
        <w:pStyle w:val="ab"/>
        <w:spacing w:before="240" w:after="240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BD1" w:rsidRPr="006B1BD1" w:rsidRDefault="006B1BD1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>Будь-яке рішення про надання анонімності свідку або особі, яка співпрацює з органами правосуддя у кримінальному провадженні, ухвалюється відповідно до національного законодавства та європейського права в галузі прав людини.</w:t>
      </w:r>
    </w:p>
    <w:p w:rsidR="006B1BD1" w:rsidRPr="006B1BD1" w:rsidRDefault="006B1BD1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1BD1" w:rsidRPr="006B1BD1" w:rsidRDefault="006B1BD1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Там, де це можливо, і відповідно до національного законодавства, анонімність осіб, які можуть надати показання, п</w:t>
      </w:r>
      <w:r w:rsidR="00E32C99">
        <w:rPr>
          <w:rFonts w:ascii="Times New Roman" w:hAnsi="Times New Roman" w:cs="Times New Roman"/>
          <w:sz w:val="24"/>
          <w:szCs w:val="24"/>
          <w:lang w:val="uk-UA"/>
        </w:rPr>
        <w:t>овинна бути винятковим заходом.</w:t>
      </w:r>
      <w:r w:rsidRPr="006B1BD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У випадках, коли гарантій анонімності вимагає свідок та/або їх одержує тимчасово за рішенням компетентних органів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, кримінально-процесуальне законодавство повинно передбачати процедуру перевірки для підтримання справедливого балансу між потребами кримінального правосуддя та правами сторін. За допомогою цієї процедури сторони повинні мати можливість оскаржити передбачувану потребу в анонімності свідка, </w:t>
      </w:r>
      <w:r w:rsidRPr="006B1BD1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надійність свідка і джерело походження його відомостей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1BD1" w:rsidRPr="006B1BD1" w:rsidRDefault="006B1BD1" w:rsidP="00A67E0F">
      <w:pPr>
        <w:pStyle w:val="ab"/>
        <w:spacing w:before="240" w:after="240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Default="006B1BD1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1BD1">
        <w:rPr>
          <w:rFonts w:ascii="Times New Roman" w:hAnsi="Times New Roman" w:cs="Times New Roman"/>
          <w:sz w:val="24"/>
          <w:szCs w:val="24"/>
          <w:lang w:val="uk-UA"/>
        </w:rPr>
        <w:t xml:space="preserve">Будь-яке рішення про надання анонімності має прийматися лише тоді, коли компетентний судовий орган встановить, що відповідній особі або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6B1BD1">
        <w:rPr>
          <w:rFonts w:ascii="Times New Roman" w:hAnsi="Times New Roman" w:cs="Times New Roman"/>
          <w:sz w:val="24"/>
          <w:szCs w:val="24"/>
          <w:lang w:val="uk-UA"/>
        </w:rPr>
        <w:t>близьким загрожує серйозна небезпека, докази є вагомими, а сама особа заслуговує на довіру.</w:t>
      </w:r>
    </w:p>
    <w:p w:rsidR="00A67E0F" w:rsidRPr="00A67E0F" w:rsidRDefault="00A67E0F" w:rsidP="00A67E0F">
      <w:pPr>
        <w:pStyle w:val="ab"/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</w:pPr>
    </w:p>
    <w:p w:rsidR="00A67E0F" w:rsidRDefault="006B1BD1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У випадку надання анонімності</w:t>
      </w:r>
      <w:r w:rsidR="00F36DF4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,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</w:t>
      </w:r>
      <w:r w:rsidR="00F36DF4"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обвинувачення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 не має ґрунтуватися винятково або вирішальною мірою на доказах, отриманих від анонімних свідків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або осіб, які співпрацюють з органами правосуддя.</w:t>
      </w:r>
    </w:p>
    <w:p w:rsidR="00A67E0F" w:rsidRPr="00A67E0F" w:rsidRDefault="00A67E0F" w:rsidP="00A67E0F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Default="00F36DF4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hAnsi="Times New Roman" w:cs="Times New Roman"/>
          <w:sz w:val="24"/>
          <w:szCs w:val="24"/>
          <w:lang w:val="uk-UA"/>
        </w:rPr>
        <w:t>За необхідності сл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>ід створювати програми захисту свідків, які повинні бути доступними для свідків та осіб, що співпрацюють з органами правосуддя, які потребують захисту відповідно до національного законодавства про захист свід</w:t>
      </w:r>
      <w:bookmarkStart w:id="0" w:name="_GoBack"/>
      <w:bookmarkEnd w:id="0"/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ків або внутрішніх положень. Ці програми повинні, якщо це можливо в рамках компетентного органу, здійснюватися, контролюватися та координуватися спеціалізованими підрозділами 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>захисту свідків, які маю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ть необхідний ступінь автономії. Їхня головна мета має полягати у підтримці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процесу кримінального правосуддя шляхом забезпечення життя, особистої безпеки та 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добробуту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сві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дків і осіб, які співпрацюють з органами правосуддя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, та 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їхніх близьких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>, зокрема, шляхом надання належного фізичного, психологічного, освітнього, соціального та фінансового захисту та підтримки. Дер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жави-члени повинні забезпечити належні укомплектованість, ресурси та підготовку цих підрозділів, а також 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доступ до негласного матеріально-технічного забезпечення та фінансів з метою надання належного захисту та підтримки особам, 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5D0F4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ходять до програми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захисту.</w:t>
      </w:r>
    </w:p>
    <w:p w:rsidR="00A67E0F" w:rsidRPr="00A67E0F" w:rsidRDefault="00A67E0F" w:rsidP="00A67E0F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Default="006B1BD1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Програми захисту, що передбачають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докорінні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зміни в житті особи, яка перебуває під захистом (наприклад,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зміна місця проживання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, особистих даних або видалення цифрової </w:t>
      </w:r>
      <w:r w:rsidR="008A3009">
        <w:rPr>
          <w:rFonts w:ascii="Times New Roman" w:hAnsi="Times New Roman" w:cs="Times New Roman"/>
          <w:sz w:val="24"/>
          <w:szCs w:val="24"/>
          <w:lang w:val="uk-UA"/>
        </w:rPr>
        <w:t>ідентифікації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), повинні застосовуватися до свідків та осіб, які співпрацюють з органами правосуддя, які потребують захисту після закінчення кримінального процесу, в якому вони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дають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показання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. Такі програми, які можуть тривати протягом обмеженого періоду або довічно, залежно від постійності загрози, слід застосовувати, якщо жодні інші заходи не вважаються достатніми для захисту свідків і осіб, які співпрацюють з органами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правосуддя, та їхніх близьких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7E0F" w:rsidRPr="00A67E0F" w:rsidRDefault="00A67E0F" w:rsidP="00A67E0F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Default="006B1BD1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таких програм вимагає інформованої згоди особи (осіб),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що підлягають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захисту, та належної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нормативно-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правової бази,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в тому числі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належні гарантії прав свідків або осіб, які співпрацюють 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з органами правосуддя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, згідно з національним законодавством. Свідків та осіб, які співпрацюють з органами правосуддя, слід та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кож інформувати про ризики, пов’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>язані з використанням інформаційно-комунікаційних технологій, зокрема Інтернету та соціальн</w:t>
      </w:r>
      <w:r w:rsidR="007673DF" w:rsidRPr="00A67E0F">
        <w:rPr>
          <w:rFonts w:ascii="Times New Roman" w:hAnsi="Times New Roman" w:cs="Times New Roman"/>
          <w:sz w:val="24"/>
          <w:szCs w:val="24"/>
          <w:lang w:val="uk-UA"/>
        </w:rPr>
        <w:t>их мереж, а також про їхні обов’язки та права у зв’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язку з цим. Слід сприяти міжвідомчій співпраці між органами, що працюють з персональними даними, з метою уникнення ризиків </w:t>
      </w:r>
      <w:r w:rsidR="00C56256" w:rsidRPr="00A67E0F">
        <w:rPr>
          <w:rFonts w:ascii="Times New Roman" w:hAnsi="Times New Roman" w:cs="Times New Roman"/>
          <w:sz w:val="24"/>
          <w:szCs w:val="24"/>
          <w:lang w:val="uk-UA"/>
        </w:rPr>
        <w:t>встановлення особистості</w:t>
      </w:r>
      <w:r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та викриття захищених свідків та осіб, які співпрацюють з органами правосуддя.</w:t>
      </w:r>
    </w:p>
    <w:p w:rsidR="00A67E0F" w:rsidRPr="00A67E0F" w:rsidRDefault="00A67E0F" w:rsidP="00A67E0F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6B1BD1" w:rsidRPr="00A67E0F" w:rsidRDefault="00C56256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hAnsi="Times New Roman" w:cs="Times New Roman"/>
          <w:sz w:val="24"/>
          <w:szCs w:val="24"/>
          <w:lang w:val="uk-UA"/>
        </w:rPr>
        <w:t>За необхідності</w:t>
      </w:r>
      <w:r w:rsidR="006B1BD1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заходи захисту можуть бути прийняті в терміновому порядку на тимчасовій основі до офіційного затвердження програми захисту.</w:t>
      </w:r>
    </w:p>
    <w:p w:rsidR="007673DF" w:rsidRDefault="007673DF" w:rsidP="00D43E41">
      <w:pPr>
        <w:pStyle w:val="ab"/>
        <w:spacing w:before="240" w:after="240"/>
        <w:rPr>
          <w:rFonts w:ascii="Times New Roman" w:hAnsi="Times New Roman" w:cs="Times New Roman"/>
          <w:sz w:val="24"/>
          <w:szCs w:val="24"/>
          <w:lang w:val="uk-UA"/>
        </w:rPr>
      </w:pPr>
    </w:p>
    <w:p w:rsidR="00C56256" w:rsidRDefault="00C56256" w:rsidP="00D43E41">
      <w:pPr>
        <w:pStyle w:val="ab"/>
        <w:numPr>
          <w:ilvl w:val="0"/>
          <w:numId w:val="7"/>
        </w:numPr>
        <w:spacing w:before="240" w:after="2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Особливі потреби осіб, які йдуть на співпрацю з органами правосуддя</w:t>
      </w:r>
    </w:p>
    <w:p w:rsidR="00A67E0F" w:rsidRPr="00A67E0F" w:rsidRDefault="00A67E0F" w:rsidP="00A67E0F">
      <w:pPr>
        <w:pStyle w:val="ab"/>
        <w:spacing w:before="240" w:after="240"/>
        <w:ind w:left="1406"/>
        <w:rPr>
          <w:rFonts w:ascii="Times New Roman" w:hAnsi="Times New Roman" w:cs="Times New Roman"/>
          <w:sz w:val="24"/>
          <w:szCs w:val="24"/>
          <w:lang w:val="uk-UA"/>
        </w:rPr>
      </w:pPr>
    </w:p>
    <w:p w:rsidR="00670623" w:rsidRDefault="00C56256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6256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важливу роль, яку можуть відігравати особи, що співпрацюють з </w:t>
      </w:r>
      <w:r w:rsidRPr="005E3C16">
        <w:rPr>
          <w:rFonts w:ascii="Times New Roman" w:hAnsi="Times New Roman" w:cs="Times New Roman"/>
          <w:sz w:val="24"/>
          <w:szCs w:val="24"/>
          <w:lang w:val="uk-UA"/>
        </w:rPr>
        <w:t xml:space="preserve">органами правосуддя, у боротьбі з </w:t>
      </w:r>
      <w:r w:rsidR="00AF6E12" w:rsidRPr="005E3C16">
        <w:rPr>
          <w:rFonts w:ascii="Times New Roman" w:hAnsi="Times New Roman" w:cs="Times New Roman"/>
          <w:sz w:val="24"/>
          <w:szCs w:val="24"/>
          <w:lang w:val="uk-UA"/>
        </w:rPr>
        <w:t>та протидії тяжким злочинам</w:t>
      </w:r>
      <w:r w:rsidRPr="005E3C16">
        <w:rPr>
          <w:rFonts w:ascii="Times New Roman" w:hAnsi="Times New Roman" w:cs="Times New Roman"/>
          <w:sz w:val="24"/>
          <w:szCs w:val="24"/>
          <w:lang w:val="uk-UA"/>
        </w:rPr>
        <w:t xml:space="preserve">, а також особливі ризики, на які вони наражаються, їм слід приділяти належну увагу та </w:t>
      </w:r>
      <w:r w:rsidR="00AF6E12" w:rsidRPr="005E3C16">
        <w:rPr>
          <w:rFonts w:ascii="Times New Roman" w:hAnsi="Times New Roman" w:cs="Times New Roman"/>
          <w:sz w:val="24"/>
          <w:szCs w:val="24"/>
          <w:lang w:val="uk-UA"/>
        </w:rPr>
        <w:t>заохочувати до</w:t>
      </w:r>
      <w:r w:rsidRPr="005E3C16">
        <w:rPr>
          <w:rFonts w:ascii="Times New Roman" w:hAnsi="Times New Roman" w:cs="Times New Roman"/>
          <w:sz w:val="24"/>
          <w:szCs w:val="24"/>
          <w:lang w:val="uk-UA"/>
        </w:rPr>
        <w:t xml:space="preserve"> співпраці, </w:t>
      </w:r>
      <w:r w:rsidR="00AF6E12" w:rsidRPr="005E3C16">
        <w:rPr>
          <w:rFonts w:ascii="Times New Roman" w:hAnsi="Times New Roman" w:cs="Times New Roman"/>
          <w:sz w:val="24"/>
          <w:szCs w:val="24"/>
          <w:lang w:val="uk-UA"/>
        </w:rPr>
        <w:t>наприклад, пом’</w:t>
      </w:r>
      <w:r w:rsidRPr="005E3C16">
        <w:rPr>
          <w:rFonts w:ascii="Times New Roman" w:hAnsi="Times New Roman" w:cs="Times New Roman"/>
          <w:sz w:val="24"/>
          <w:szCs w:val="24"/>
          <w:lang w:val="uk-UA"/>
        </w:rPr>
        <w:t xml:space="preserve">якшення покарання або надання імунітету в обмін на надання інформації, що може бути використана у кримінальному провадженні. За необхідності, програми захисту, що застосовуються до осіб, які співпрацюють з органами правосуддя та </w:t>
      </w:r>
      <w:r w:rsidR="005E3C16" w:rsidRPr="005E3C16">
        <w:rPr>
          <w:rFonts w:ascii="Times New Roman" w:hAnsi="Times New Roman" w:cs="Times New Roman"/>
          <w:sz w:val="24"/>
          <w:szCs w:val="24"/>
          <w:lang w:val="uk-UA"/>
        </w:rPr>
        <w:t>які перебувають під вартою</w:t>
      </w:r>
      <w:r w:rsidRPr="005E3C16">
        <w:rPr>
          <w:rFonts w:ascii="Times New Roman" w:hAnsi="Times New Roman" w:cs="Times New Roman"/>
          <w:sz w:val="24"/>
          <w:szCs w:val="24"/>
          <w:lang w:val="uk-UA"/>
        </w:rPr>
        <w:t xml:space="preserve">, можуть також включати спеціальні заходи, </w:t>
      </w:r>
      <w:r w:rsidR="005E3C16" w:rsidRPr="005E3C16">
        <w:rPr>
          <w:rFonts w:ascii="Times New Roman" w:eastAsia="Arial Unicode MS" w:hAnsi="Times New Roman" w:cs="Times New Roman"/>
          <w:sz w:val="24"/>
          <w:szCs w:val="24"/>
          <w:lang w:val="uk-UA"/>
        </w:rPr>
        <w:t>як особливі режими відбування покарання</w:t>
      </w:r>
      <w:r w:rsidRPr="005E3C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0623" w:rsidRDefault="00670623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623" w:rsidRPr="00670623" w:rsidRDefault="00C56256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Захист осіб, які співпрацюють з органами правосуддя, також має бути спрямований на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>забезпечення достовірності їхніх показань і громадської безпеки</w:t>
      </w:r>
      <w:r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. Необхідно вжити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>належних</w:t>
      </w:r>
      <w:r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заходів для захисту від ризику вчинення нових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>кримінальних правопорушень</w:t>
      </w:r>
      <w:r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особами, які співпрацюють з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органами правосуддя</w:t>
      </w:r>
      <w:r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, перебуваючи під захистом, і, таким чином, навіть мимоволі, ставлячи під загрозу розгляд справи в суді.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>Умисне здійснення злочину особою, яка співпрацює з правосуддям, що перебуває під захистом, мало б за відповідних обставин тягти за собою скасування заходів захисту</w:t>
      </w:r>
      <w:r w:rsidR="00670623" w:rsidRPr="006706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623" w:rsidRPr="00670623" w:rsidRDefault="00670623" w:rsidP="00D43E41">
      <w:pPr>
        <w:pStyle w:val="ab"/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623" w:rsidRPr="00A67E0F" w:rsidRDefault="00670623" w:rsidP="00D43E41">
      <w:pPr>
        <w:pStyle w:val="ab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Підрозділи 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70623">
        <w:rPr>
          <w:rFonts w:ascii="Times New Roman" w:hAnsi="Times New Roman" w:cs="Times New Roman"/>
          <w:sz w:val="24"/>
          <w:szCs w:val="24"/>
          <w:lang w:val="uk-UA"/>
        </w:rPr>
        <w:t>з захисту свідків</w:t>
      </w:r>
    </w:p>
    <w:p w:rsidR="00A67E0F" w:rsidRPr="00A67E0F" w:rsidRDefault="00A67E0F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5386" w:rsidRDefault="0091414D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Там, де це можливо,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в рамках компетентного органу слід створити спеціальні підрозділи 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>захисту свідків, які безпосередньо займаються захистом свідків та осіб, які співпрацюють з органами правосуддя.</w:t>
      </w:r>
      <w:r w:rsidR="00670623" w:rsidRPr="00914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Кадрами таких підрозділів повинні бути висококваліфіковані експерти, які мають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необхідний досвід,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не лише обмежені ним,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зокрема, у сфері безпеки та захисту, повторної ідентифікації та створення легенд, таємного матеріально-технічного забезпечення та фінансів, психосоціальної оцінки та підтримки, інформаційно-комунікаційних технологій, оцінки загроз та ризиків, </w:t>
      </w:r>
      <w:r>
        <w:rPr>
          <w:rFonts w:ascii="Times New Roman" w:hAnsi="Times New Roman" w:cs="Times New Roman"/>
          <w:sz w:val="24"/>
          <w:szCs w:val="24"/>
          <w:lang w:val="uk-UA"/>
        </w:rPr>
        <w:t>догляду та управління фінансами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. Для вразливих груп свідків, таких як потерпілі, у тому числі </w:t>
      </w:r>
      <w:r w:rsidR="00D65386">
        <w:rPr>
          <w:rFonts w:ascii="Times New Roman" w:hAnsi="Times New Roman" w:cs="Times New Roman"/>
          <w:sz w:val="24"/>
          <w:szCs w:val="24"/>
          <w:lang w:val="uk-UA"/>
        </w:rPr>
        <w:t>потерпілі сексуального та гендерно-зумовленого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насильства, неповнолітні або свідки з медичними або особливими потребами, повинен бути доступний спеціалізований персонал. </w:t>
      </w:r>
      <w:r w:rsidR="00D65386">
        <w:rPr>
          <w:rFonts w:ascii="Times New Roman" w:hAnsi="Times New Roman" w:cs="Times New Roman"/>
          <w:sz w:val="24"/>
          <w:szCs w:val="24"/>
          <w:lang w:val="uk-UA"/>
        </w:rPr>
        <w:t xml:space="preserve">Слід також приділяли належну увагу 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забезпеченню належного гендерного представництва, мовного досвіду та знань, а також врахуванню етнічних, культурних та релігійних потреб свідків та осіб, які співпрацюють з органами правосуддя, в рамках програми. Для забезпечення найвищого рівня захисту, конфіденційності та підтримки осіб, які беруть участь у програмах, необхідно регулярно проводити </w:t>
      </w:r>
      <w:r w:rsidR="00D65386">
        <w:rPr>
          <w:rFonts w:ascii="Times New Roman" w:hAnsi="Times New Roman" w:cs="Times New Roman"/>
          <w:sz w:val="24"/>
          <w:szCs w:val="24"/>
          <w:lang w:val="uk-UA"/>
        </w:rPr>
        <w:t>належну</w:t>
      </w:r>
      <w:r w:rsidR="00670623" w:rsidRPr="00670623">
        <w:rPr>
          <w:rFonts w:ascii="Times New Roman" w:hAnsi="Times New Roman" w:cs="Times New Roman"/>
          <w:sz w:val="24"/>
          <w:szCs w:val="24"/>
          <w:lang w:val="uk-UA"/>
        </w:rPr>
        <w:t xml:space="preserve"> та безперервну підготовку персоналу, у тому числі в галузі інформаційно-комунікаційних технологій, цифрової безпеки та кібербезпеки.</w:t>
      </w:r>
    </w:p>
    <w:p w:rsidR="00D65386" w:rsidRDefault="00D65386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Pr="00A67E0F" w:rsidRDefault="00D65386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>З дотриманням основних принципів, що визначають адміністративній устрій кожної держави,</w:t>
      </w:r>
      <w:r w:rsidR="00670623" w:rsidRPr="00A67E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E0F">
        <w:rPr>
          <w:rFonts w:ascii="Times New Roman" w:eastAsia="Arial Unicode MS" w:hAnsi="Times New Roman" w:cs="Times New Roman"/>
          <w:color w:val="000000"/>
          <w:sz w:val="24"/>
          <w:szCs w:val="24"/>
          <w:lang w:val="uk-UA"/>
        </w:rPr>
        <w:t xml:space="preserve">персоналові, відповідальному за впровадження заходів захисту, слід користуватися оперативною самостійністю і не брати участі ні в розслідуванні, ні в підготовці справи, у якій свідкові або особі, яка співпрацює з органами правосуддя, належить давати показання. Із цією метою слід передбачити організаційне розмежування відповідних функцій. </w:t>
      </w:r>
      <w:r w:rsidR="00670623" w:rsidRPr="00A67E0F">
        <w:rPr>
          <w:rFonts w:ascii="Times New Roman" w:hAnsi="Times New Roman" w:cs="Times New Roman"/>
          <w:sz w:val="24"/>
          <w:szCs w:val="24"/>
          <w:lang w:val="uk-UA"/>
        </w:rPr>
        <w:t>Водночас слід забезпечити належний рівень співпраці та контактів з правоохоронними органами та між ними з метою успішного прийняття та реалізації заходів і програм захисту, а також забезпечення</w:t>
      </w:r>
      <w:r w:rsidR="00670623"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скоординованого та цілісного підходу до осіб, які співпрацюють з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органами правосуддя</w:t>
      </w:r>
      <w:r w:rsidR="00670623"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, та захисту і підтримки свідків протягом усього процесу - від розслідування до судового розгляду та після нього. За можливості, така співпраця та координація повинні починатися до того, як будуть встановлені перші контакти зі свідками та особами, які </w:t>
      </w:r>
      <w:r>
        <w:rPr>
          <w:rFonts w:ascii="Times New Roman" w:hAnsi="Times New Roman" w:cs="Times New Roman"/>
          <w:sz w:val="24"/>
          <w:szCs w:val="24"/>
          <w:lang w:val="uk-UA"/>
        </w:rPr>
        <w:t>співпрацюють з органами правосуддя</w:t>
      </w:r>
      <w:r w:rsidR="00670623" w:rsidRPr="00D65386">
        <w:rPr>
          <w:rFonts w:ascii="Times New Roman" w:hAnsi="Times New Roman" w:cs="Times New Roman"/>
          <w:sz w:val="24"/>
          <w:szCs w:val="24"/>
          <w:lang w:val="uk-UA"/>
        </w:rPr>
        <w:t>, та проведені їхні допити, щоб забезпечити належну практику та звести до мінімуму ризик викриття.</w:t>
      </w:r>
    </w:p>
    <w:p w:rsidR="00A67E0F" w:rsidRPr="00A67E0F" w:rsidRDefault="00A67E0F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7666E" w:rsidRPr="00A67E0F" w:rsidRDefault="00F7666E" w:rsidP="00D43E41">
      <w:pPr>
        <w:pStyle w:val="ab"/>
        <w:numPr>
          <w:ilvl w:val="0"/>
          <w:numId w:val="1"/>
        </w:num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Міжнародне </w:t>
      </w:r>
      <w:r w:rsidR="006B1BD1" w:rsidRPr="00670623">
        <w:rPr>
          <w:rFonts w:ascii="Times New Roman" w:hAnsi="Times New Roman" w:cs="Times New Roman"/>
          <w:b/>
          <w:sz w:val="24"/>
          <w:szCs w:val="24"/>
          <w:lang w:val="uk-UA"/>
        </w:rPr>
        <w:t>співробітництво</w:t>
      </w:r>
    </w:p>
    <w:p w:rsidR="00A67E0F" w:rsidRPr="00A67E0F" w:rsidRDefault="00A67E0F" w:rsidP="00A67E0F">
      <w:pPr>
        <w:pStyle w:val="ab"/>
        <w:spacing w:before="240" w:after="2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009" w:rsidRDefault="00D65386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Поважаючи 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відмінності різних правових систем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та основоп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оложні принципи адміністративного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устрою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кожної держави, слід дотримуватися спільного підходу 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у міжнародних питаннях, пов’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>язаних із захистом свідків та осіб, які співпрацюють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правосуддя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. Такий спільний підхід має бути спрямований на забезпечення належних професійних стандартів і сумісних процедур і практик, 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принаймні щодо вирішальних аспектів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конфіденційності, недоторканності, необхідної інформації, оцінці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ризи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ків і загроз, а також підготовці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кадрів. Держави-члени повинні забезпечити </w:t>
      </w:r>
      <w:r w:rsidR="001E7009">
        <w:rPr>
          <w:rFonts w:ascii="Times New Roman" w:hAnsi="Times New Roman" w:cs="Times New Roman"/>
          <w:sz w:val="24"/>
          <w:szCs w:val="24"/>
          <w:lang w:val="uk-UA"/>
        </w:rPr>
        <w:t>належний</w:t>
      </w:r>
      <w:r w:rsidRPr="00D65386">
        <w:rPr>
          <w:rFonts w:ascii="Times New Roman" w:hAnsi="Times New Roman" w:cs="Times New Roman"/>
          <w:sz w:val="24"/>
          <w:szCs w:val="24"/>
          <w:lang w:val="uk-UA"/>
        </w:rPr>
        <w:t xml:space="preserve"> обмін інформацією, передовим досвідом та співробітництво між органами, відповідальними за програми захисту.</w:t>
      </w:r>
    </w:p>
    <w:p w:rsidR="008663D3" w:rsidRDefault="008663D3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Pr="00A67E0F" w:rsidRDefault="001E7009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вжити заходів, спрямованих на </w:t>
      </w:r>
      <w:r>
        <w:rPr>
          <w:rFonts w:ascii="Times New Roman" w:hAnsi="Times New Roman" w:cs="Times New Roman"/>
          <w:sz w:val="24"/>
          <w:szCs w:val="24"/>
          <w:lang w:val="uk-UA"/>
        </w:rPr>
        <w:t>зміцнення</w:t>
      </w:r>
      <w:r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 міжна</w:t>
      </w:r>
      <w:r>
        <w:rPr>
          <w:rFonts w:ascii="Times New Roman" w:hAnsi="Times New Roman" w:cs="Times New Roman"/>
          <w:sz w:val="24"/>
          <w:szCs w:val="24"/>
          <w:lang w:val="uk-UA"/>
        </w:rPr>
        <w:t>родного співробітництва</w:t>
      </w:r>
      <w:r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>сприяння проведення</w:t>
      </w:r>
      <w:r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 допиту захищених свідків і осіб, які співпрацюють з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органами правосуддя</w:t>
      </w:r>
      <w:r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, а також для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транскордонного </w:t>
      </w:r>
      <w:r w:rsidRPr="001E7009">
        <w:rPr>
          <w:rFonts w:ascii="Times New Roman" w:hAnsi="Times New Roman" w:cs="Times New Roman"/>
          <w:sz w:val="24"/>
          <w:szCs w:val="24"/>
          <w:lang w:val="uk-UA"/>
        </w:rPr>
        <w:t>здійсненн</w:t>
      </w:r>
      <w:r>
        <w:rPr>
          <w:rFonts w:ascii="Times New Roman" w:hAnsi="Times New Roman" w:cs="Times New Roman"/>
          <w:sz w:val="24"/>
          <w:szCs w:val="24"/>
          <w:lang w:val="uk-UA"/>
        </w:rPr>
        <w:t>я програм захисту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67E0F" w:rsidRPr="00A67E0F" w:rsidRDefault="00A67E0F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Pr="00A67E0F" w:rsidRDefault="001E7009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</w:t>
      </w:r>
      <w:r w:rsidR="00D65386"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д розширити сферу, а також ефективно та швидко здійснювати міжнародне 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>співробітництво в питаннях, пов’</w:t>
      </w:r>
      <w:r w:rsidR="00D65386" w:rsidRPr="001E7009">
        <w:rPr>
          <w:rFonts w:ascii="Times New Roman" w:hAnsi="Times New Roman" w:cs="Times New Roman"/>
          <w:sz w:val="24"/>
          <w:szCs w:val="24"/>
          <w:lang w:val="uk-UA"/>
        </w:rPr>
        <w:t>язаних із захистом св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 xml:space="preserve">ідків і осіб, які співпрацюють </w:t>
      </w:r>
      <w:r w:rsidR="00D65386" w:rsidRPr="001E700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>органами правосуддя</w:t>
      </w:r>
      <w:r w:rsidR="00D65386" w:rsidRPr="001E7009">
        <w:rPr>
          <w:rFonts w:ascii="Times New Roman" w:hAnsi="Times New Roman" w:cs="Times New Roman"/>
          <w:sz w:val="24"/>
          <w:szCs w:val="24"/>
          <w:lang w:val="uk-UA"/>
        </w:rPr>
        <w:t>, у тому числі з відповідними міжнародними юрисдикціями.</w:t>
      </w:r>
    </w:p>
    <w:p w:rsidR="00A67E0F" w:rsidRPr="00D43E41" w:rsidRDefault="00A67E0F" w:rsidP="00A67E0F">
      <w:pPr>
        <w:pStyle w:val="ab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7E0F" w:rsidRPr="00A67E0F" w:rsidRDefault="008663D3" w:rsidP="00A67E0F">
      <w:pPr>
        <w:pStyle w:val="ab"/>
        <w:numPr>
          <w:ilvl w:val="0"/>
          <w:numId w:val="6"/>
        </w:numPr>
        <w:spacing w:before="240" w:after="24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Наприклад, слід </w:t>
      </w:r>
      <w:r w:rsidR="00D65386" w:rsidRPr="001E7009">
        <w:rPr>
          <w:rFonts w:ascii="Times New Roman" w:hAnsi="Times New Roman" w:cs="Times New Roman"/>
          <w:sz w:val="24"/>
          <w:szCs w:val="24"/>
          <w:lang w:val="uk-UA"/>
        </w:rPr>
        <w:t>розглянути наступні цілі:</w:t>
      </w:r>
    </w:p>
    <w:p w:rsidR="00A67E0F" w:rsidRPr="00D43E41" w:rsidRDefault="00A67E0F" w:rsidP="00A67E0F">
      <w:pPr>
        <w:pStyle w:val="ab"/>
        <w:spacing w:before="240" w:after="240"/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63D3" w:rsidRPr="00D43E41" w:rsidRDefault="0075005D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надати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 xml:space="preserve"> допомогу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у тимчасовому або постійному переселенні за кордон свідків</w:t>
      </w:r>
      <w:r w:rsidR="001E7009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осіб, які співпрацюють з органами правосуддя, </w:t>
      </w:r>
      <w:r w:rsidR="008663D3" w:rsidRPr="008663D3">
        <w:rPr>
          <w:rFonts w:ascii="Times New Roman" w:hAnsi="Times New Roman" w:cs="Times New Roman"/>
          <w:sz w:val="24"/>
          <w:szCs w:val="24"/>
          <w:lang w:val="uk-UA"/>
        </w:rPr>
        <w:t>які перебувають під захистом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663D3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>їхніх близьких</w:t>
      </w:r>
      <w:r>
        <w:rPr>
          <w:rFonts w:ascii="Times New Roman" w:hAnsi="Times New Roman" w:cs="Times New Roman"/>
          <w:sz w:val="24"/>
          <w:szCs w:val="24"/>
          <w:lang w:val="uk-UA"/>
        </w:rPr>
        <w:t>, а також забезпечити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 xml:space="preserve"> їхній захист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, зокрема у випадках, коли </w:t>
      </w:r>
      <w:r w:rsidR="008D7631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не може бути знайдено 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>іншого рішення, за наявності відповідних двосторонніх або багатосторонніх угод;</w:t>
      </w:r>
    </w:p>
    <w:p w:rsidR="008663D3" w:rsidRPr="00D43E41" w:rsidRDefault="0075005D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надати</w:t>
      </w:r>
      <w:r w:rsidR="008D7631">
        <w:rPr>
          <w:rFonts w:ascii="Times New Roman" w:hAnsi="Times New Roman" w:cs="Times New Roman"/>
          <w:sz w:val="24"/>
          <w:szCs w:val="24"/>
          <w:lang w:val="uk-UA"/>
        </w:rPr>
        <w:t xml:space="preserve"> психосоціальну підтримку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>свід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>кам, особам, які співпрацюють з органами правосуддя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, та 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>їхнім близьким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, які тимчасово або постійно переселяються, у тому числі шляхом створення програм для їхньої інтеграції в трудове та соціальне життя за новим місцем проживання,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>уточнити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правові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підста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для видачі їм посвідки на тимчасове проживання</w:t>
      </w:r>
      <w:r w:rsidR="008663D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663D3" w:rsidRPr="00A67E0F" w:rsidRDefault="008663D3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5005D">
        <w:rPr>
          <w:rFonts w:ascii="Times New Roman" w:hAnsi="Times New Roman" w:cs="Times New Roman"/>
          <w:sz w:val="24"/>
          <w:szCs w:val="24"/>
          <w:lang w:val="uk-UA"/>
        </w:rPr>
        <w:t>прияти та покращити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 інформаційних та комунікаційних технологій, а також їхню безпеку, забезпечуючи при цьому захист прав сторін;</w:t>
      </w:r>
    </w:p>
    <w:p w:rsidR="008663D3" w:rsidRPr="00A67E0F" w:rsidRDefault="0075005D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співпрацювати, обмінюватися передовим досвідом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розробляти спільні рішення для подолання викликів, пов’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>язаних із швидким розвитком нових технологій, які можуть загрожувати безпеці свідків, осіб, які співпрацюють з органами правосуддя</w:t>
      </w:r>
      <w:r>
        <w:rPr>
          <w:rFonts w:ascii="Times New Roman" w:hAnsi="Times New Roman" w:cs="Times New Roman"/>
          <w:sz w:val="24"/>
          <w:szCs w:val="24"/>
          <w:lang w:val="uk-UA"/>
        </w:rPr>
        <w:t>, та їхніх близьких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>, у тому числі тих, які можуть викрити або розкрити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їхню особу через біометричну ав</w:t>
      </w:r>
      <w:r w:rsidRPr="008663D3">
        <w:rPr>
          <w:rFonts w:ascii="Times New Roman" w:hAnsi="Times New Roman" w:cs="Times New Roman"/>
          <w:sz w:val="24"/>
          <w:szCs w:val="24"/>
          <w:lang w:val="uk-UA"/>
        </w:rPr>
        <w:t>тентифікацію</w:t>
      </w:r>
      <w:r w:rsidR="00D65386"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розпізнавання обличчя, відбитків пальців тощо);</w:t>
      </w:r>
    </w:p>
    <w:p w:rsidR="008663D3" w:rsidRPr="00A67E0F" w:rsidRDefault="00D65386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продовжувати співпрацю та покращувати обмін </w:t>
      </w:r>
      <w:r w:rsidR="0075005D">
        <w:rPr>
          <w:rFonts w:ascii="Times New Roman" w:hAnsi="Times New Roman" w:cs="Times New Roman"/>
          <w:sz w:val="24"/>
          <w:szCs w:val="24"/>
          <w:lang w:val="uk-UA"/>
        </w:rPr>
        <w:t>передовим досвідом</w:t>
      </w:r>
      <w:r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 шляхом використання існуючих мереж національних та міжнародних підрозділів та експертів із захисту свідків;</w:t>
      </w:r>
    </w:p>
    <w:p w:rsidR="008663D3" w:rsidRPr="00A67E0F" w:rsidRDefault="00D65386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3D3">
        <w:rPr>
          <w:rFonts w:ascii="Times New Roman" w:hAnsi="Times New Roman" w:cs="Times New Roman"/>
          <w:sz w:val="24"/>
          <w:szCs w:val="24"/>
          <w:lang w:val="uk-UA"/>
        </w:rPr>
        <w:t>продовжувати співпрацювати та встановлювати спі</w:t>
      </w:r>
      <w:r w:rsidR="0075005D">
        <w:rPr>
          <w:rFonts w:ascii="Times New Roman" w:hAnsi="Times New Roman" w:cs="Times New Roman"/>
          <w:sz w:val="24"/>
          <w:szCs w:val="24"/>
          <w:lang w:val="uk-UA"/>
        </w:rPr>
        <w:t>льні стандарти та принципи між Д</w:t>
      </w:r>
      <w:r w:rsidRPr="008663D3">
        <w:rPr>
          <w:rFonts w:ascii="Times New Roman" w:hAnsi="Times New Roman" w:cs="Times New Roman"/>
          <w:sz w:val="24"/>
          <w:szCs w:val="24"/>
          <w:lang w:val="uk-UA"/>
        </w:rPr>
        <w:t xml:space="preserve">ержавами-членами з метою сприяння ефективному та швидкому переміщенню за кордон свідків та осіб, які співпрацюють з </w:t>
      </w:r>
      <w:r w:rsidR="0075005D">
        <w:rPr>
          <w:rFonts w:ascii="Times New Roman" w:hAnsi="Times New Roman" w:cs="Times New Roman"/>
          <w:sz w:val="24"/>
          <w:szCs w:val="24"/>
          <w:lang w:val="uk-UA"/>
        </w:rPr>
        <w:t>органами правосуддя</w:t>
      </w:r>
      <w:r w:rsidRPr="008663D3">
        <w:rPr>
          <w:rFonts w:ascii="Times New Roman" w:hAnsi="Times New Roman" w:cs="Times New Roman"/>
          <w:sz w:val="24"/>
          <w:szCs w:val="24"/>
          <w:lang w:val="uk-UA"/>
        </w:rPr>
        <w:t>, що перебувають у зоні підвищеного ризику, в тому числі шляхом встановлення спільних принципів щодо фінансування, імміграційних процедур та інших рівнів підтримки;</w:t>
      </w:r>
    </w:p>
    <w:p w:rsidR="00F7666E" w:rsidRPr="008663D3" w:rsidRDefault="00D65386" w:rsidP="00A67E0F">
      <w:pPr>
        <w:pStyle w:val="ab"/>
        <w:numPr>
          <w:ilvl w:val="0"/>
          <w:numId w:val="15"/>
        </w:num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3D3">
        <w:rPr>
          <w:rFonts w:ascii="Times New Roman" w:hAnsi="Times New Roman" w:cs="Times New Roman"/>
          <w:sz w:val="24"/>
          <w:szCs w:val="24"/>
          <w:lang w:val="uk-UA"/>
        </w:rPr>
        <w:t>сприяти захисту свідків та осіб, які співпрацюють з органами правосуддя, в контексті співпраці з міжнародними кримінальними судами та трибуналами, спільними слідчими групами, спеціальними слідчими групами, міжнародними органами та комісіями з встановлення фактів, а також переміщеними спеціалізованими судовими установами.</w:t>
      </w:r>
    </w:p>
    <w:p w:rsidR="005B2589" w:rsidRPr="00D65386" w:rsidRDefault="005B2589" w:rsidP="00A67E0F">
      <w:pPr>
        <w:spacing w:before="240" w:after="240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B2589" w:rsidRPr="00D65386" w:rsidSect="00BF7B5C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5B" w:rsidRDefault="0056015B" w:rsidP="00BF7B5C">
      <w:r>
        <w:separator/>
      </w:r>
    </w:p>
  </w:endnote>
  <w:endnote w:type="continuationSeparator" w:id="0">
    <w:p w:rsidR="0056015B" w:rsidRDefault="0056015B" w:rsidP="00BF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92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1164" w:rsidRPr="002B1164" w:rsidRDefault="002B1164">
        <w:pPr>
          <w:pStyle w:val="a9"/>
          <w:rPr>
            <w:rFonts w:ascii="Times New Roman" w:hAnsi="Times New Roman" w:cs="Times New Roman"/>
          </w:rPr>
        </w:pPr>
        <w:r w:rsidRPr="002B1164">
          <w:rPr>
            <w:rFonts w:ascii="Times New Roman" w:hAnsi="Times New Roman" w:cs="Times New Roman"/>
          </w:rPr>
          <w:fldChar w:fldCharType="begin"/>
        </w:r>
        <w:r w:rsidRPr="002B1164">
          <w:rPr>
            <w:rFonts w:ascii="Times New Roman" w:hAnsi="Times New Roman" w:cs="Times New Roman"/>
          </w:rPr>
          <w:instrText>PAGE   \* MERGEFORMAT</w:instrText>
        </w:r>
        <w:r w:rsidRPr="002B1164">
          <w:rPr>
            <w:rFonts w:ascii="Times New Roman" w:hAnsi="Times New Roman" w:cs="Times New Roman"/>
          </w:rPr>
          <w:fldChar w:fldCharType="separate"/>
        </w:r>
        <w:r w:rsidR="00066457" w:rsidRPr="00066457">
          <w:rPr>
            <w:rFonts w:ascii="Times New Roman" w:hAnsi="Times New Roman" w:cs="Times New Roman"/>
            <w:noProof/>
            <w:lang w:val="ru-RU"/>
          </w:rPr>
          <w:t>12</w:t>
        </w:r>
        <w:r w:rsidRPr="002B116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47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24CB" w:rsidRPr="002B1164" w:rsidRDefault="00D324CB">
        <w:pPr>
          <w:pStyle w:val="a9"/>
          <w:jc w:val="right"/>
          <w:rPr>
            <w:rFonts w:ascii="Times New Roman" w:hAnsi="Times New Roman" w:cs="Times New Roman"/>
          </w:rPr>
        </w:pPr>
        <w:r w:rsidRPr="002B1164">
          <w:rPr>
            <w:rFonts w:ascii="Times New Roman" w:hAnsi="Times New Roman" w:cs="Times New Roman"/>
          </w:rPr>
          <w:fldChar w:fldCharType="begin"/>
        </w:r>
        <w:r w:rsidRPr="002B1164">
          <w:rPr>
            <w:rFonts w:ascii="Times New Roman" w:hAnsi="Times New Roman" w:cs="Times New Roman"/>
          </w:rPr>
          <w:instrText>PAGE   \* MERGEFORMAT</w:instrText>
        </w:r>
        <w:r w:rsidRPr="002B1164">
          <w:rPr>
            <w:rFonts w:ascii="Times New Roman" w:hAnsi="Times New Roman" w:cs="Times New Roman"/>
          </w:rPr>
          <w:fldChar w:fldCharType="separate"/>
        </w:r>
        <w:r w:rsidR="00066457" w:rsidRPr="00066457">
          <w:rPr>
            <w:rFonts w:ascii="Times New Roman" w:hAnsi="Times New Roman" w:cs="Times New Roman"/>
            <w:noProof/>
            <w:lang w:val="ru-RU"/>
          </w:rPr>
          <w:t>11</w:t>
        </w:r>
        <w:r w:rsidRPr="002B1164">
          <w:rPr>
            <w:rFonts w:ascii="Times New Roman" w:hAnsi="Times New Roman" w:cs="Times New Roman"/>
          </w:rPr>
          <w:fldChar w:fldCharType="end"/>
        </w:r>
      </w:p>
    </w:sdtContent>
  </w:sdt>
  <w:p w:rsidR="00D324CB" w:rsidRDefault="00D324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90" w:rsidRDefault="00E81290">
    <w:pPr>
      <w:pStyle w:val="a9"/>
      <w:rPr>
        <w:rFonts w:ascii="Times New Roman" w:hAnsi="Times New Roman" w:cs="Times New Roman"/>
        <w:sz w:val="20"/>
        <w:szCs w:val="20"/>
        <w:lang w:val="uk-UA"/>
      </w:rPr>
    </w:pPr>
  </w:p>
  <w:p w:rsidR="00B95DA7" w:rsidRPr="00092D62" w:rsidRDefault="00092D62">
    <w:pPr>
      <w:pStyle w:val="a9"/>
      <w:rPr>
        <w:rFonts w:ascii="Times New Roman" w:hAnsi="Times New Roman" w:cs="Times New Roman"/>
        <w:sz w:val="20"/>
        <w:szCs w:val="20"/>
        <w:lang w:val="uk-UA"/>
      </w:rPr>
    </w:pPr>
    <w:r w:rsidRPr="00092D62">
      <w:rPr>
        <w:rFonts w:ascii="Times New Roman" w:hAnsi="Times New Roman" w:cs="Times New Roman"/>
        <w:sz w:val="20"/>
        <w:szCs w:val="20"/>
        <w:lang w:val="uk-UA"/>
      </w:rPr>
      <w:t xml:space="preserve">Офіційний сайт: </w:t>
    </w:r>
    <w:hyperlink r:id="rId1" w:history="1">
      <w:r w:rsidRPr="00092D62">
        <w:rPr>
          <w:rStyle w:val="ac"/>
          <w:rFonts w:ascii="Times New Roman" w:hAnsi="Times New Roman" w:cs="Times New Roman"/>
          <w:sz w:val="20"/>
          <w:szCs w:val="20"/>
        </w:rPr>
        <w:t>https</w:t>
      </w:r>
      <w:r w:rsidRPr="00092D62">
        <w:rPr>
          <w:rStyle w:val="ac"/>
          <w:rFonts w:ascii="Times New Roman" w:hAnsi="Times New Roman" w:cs="Times New Roman"/>
          <w:sz w:val="20"/>
          <w:szCs w:val="20"/>
          <w:lang w:val="ru-RU"/>
        </w:rPr>
        <w:t>://</w:t>
      </w:r>
      <w:r w:rsidRPr="00092D62">
        <w:rPr>
          <w:rStyle w:val="ac"/>
          <w:rFonts w:ascii="Times New Roman" w:hAnsi="Times New Roman" w:cs="Times New Roman"/>
          <w:sz w:val="20"/>
          <w:szCs w:val="20"/>
        </w:rPr>
        <w:t>www</w:t>
      </w:r>
      <w:r w:rsidRPr="00092D62">
        <w:rPr>
          <w:rStyle w:val="ac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92D62">
        <w:rPr>
          <w:rStyle w:val="ac"/>
          <w:rFonts w:ascii="Times New Roman" w:hAnsi="Times New Roman" w:cs="Times New Roman"/>
          <w:sz w:val="20"/>
          <w:szCs w:val="20"/>
        </w:rPr>
        <w:t>coe</w:t>
      </w:r>
      <w:proofErr w:type="spellEnd"/>
      <w:r w:rsidRPr="00092D62">
        <w:rPr>
          <w:rStyle w:val="ac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092D62">
        <w:rPr>
          <w:rStyle w:val="ac"/>
          <w:rFonts w:ascii="Times New Roman" w:hAnsi="Times New Roman" w:cs="Times New Roman"/>
          <w:sz w:val="20"/>
          <w:szCs w:val="20"/>
        </w:rPr>
        <w:t>int</w:t>
      </w:r>
      <w:proofErr w:type="spellEnd"/>
      <w:r w:rsidRPr="00092D62">
        <w:rPr>
          <w:rStyle w:val="ac"/>
          <w:rFonts w:ascii="Times New Roman" w:hAnsi="Times New Roman" w:cs="Times New Roman"/>
          <w:sz w:val="20"/>
          <w:szCs w:val="20"/>
          <w:lang w:val="ru-RU"/>
        </w:rPr>
        <w:t>/</w:t>
      </w:r>
      <w:proofErr w:type="spellStart"/>
      <w:r w:rsidRPr="00092D62">
        <w:rPr>
          <w:rStyle w:val="ac"/>
          <w:rFonts w:ascii="Times New Roman" w:hAnsi="Times New Roman" w:cs="Times New Roman"/>
          <w:sz w:val="20"/>
          <w:szCs w:val="20"/>
        </w:rPr>
        <w:t>en</w:t>
      </w:r>
      <w:proofErr w:type="spellEnd"/>
      <w:r w:rsidRPr="00092D62">
        <w:rPr>
          <w:rStyle w:val="ac"/>
          <w:rFonts w:ascii="Times New Roman" w:hAnsi="Times New Roman" w:cs="Times New Roman"/>
          <w:sz w:val="20"/>
          <w:szCs w:val="20"/>
          <w:lang w:val="ru-RU"/>
        </w:rPr>
        <w:t>/</w:t>
      </w:r>
      <w:r w:rsidRPr="00092D62">
        <w:rPr>
          <w:rStyle w:val="ac"/>
          <w:rFonts w:ascii="Times New Roman" w:hAnsi="Times New Roman" w:cs="Times New Roman"/>
          <w:sz w:val="20"/>
          <w:szCs w:val="20"/>
        </w:rPr>
        <w:t>web</w:t>
      </w:r>
      <w:r w:rsidRPr="00092D62">
        <w:rPr>
          <w:rStyle w:val="ac"/>
          <w:rFonts w:ascii="Times New Roman" w:hAnsi="Times New Roman" w:cs="Times New Roman"/>
          <w:sz w:val="20"/>
          <w:szCs w:val="20"/>
          <w:lang w:val="ru-RU"/>
        </w:rPr>
        <w:t>/</w:t>
      </w:r>
      <w:r w:rsidRPr="00092D62">
        <w:rPr>
          <w:rStyle w:val="ac"/>
          <w:rFonts w:ascii="Times New Roman" w:hAnsi="Times New Roman" w:cs="Times New Roman"/>
          <w:sz w:val="20"/>
          <w:szCs w:val="20"/>
        </w:rPr>
        <w:t>cm</w:t>
      </w:r>
    </w:hyperlink>
    <w:r w:rsidRPr="00092D62">
      <w:rPr>
        <w:rFonts w:ascii="Times New Roman" w:hAnsi="Times New Roman" w:cs="Times New Roman"/>
        <w:sz w:val="20"/>
        <w:szCs w:val="20"/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5B" w:rsidRDefault="0056015B" w:rsidP="00BF7B5C">
      <w:r>
        <w:separator/>
      </w:r>
    </w:p>
  </w:footnote>
  <w:footnote w:type="continuationSeparator" w:id="0">
    <w:p w:rsidR="0056015B" w:rsidRDefault="0056015B" w:rsidP="00BF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5C" w:rsidRPr="00092D62" w:rsidRDefault="00BF7B5C" w:rsidP="00BF7B5C">
    <w:pPr>
      <w:pStyle w:val="a7"/>
      <w:rPr>
        <w:color w:val="000000" w:themeColor="text1"/>
      </w:rPr>
    </w:pPr>
    <w:r w:rsidRPr="00092D62">
      <w:rPr>
        <w:rFonts w:ascii="Times New Roman" w:hAnsi="Times New Roman" w:cs="Times New Roman"/>
        <w:color w:val="000000" w:themeColor="text1"/>
        <w:spacing w:val="-3"/>
        <w:w w:val="105"/>
        <w:sz w:val="24"/>
        <w:szCs w:val="24"/>
        <w:lang w:val="uk-UA"/>
      </w:rPr>
      <w:t>CM/</w:t>
    </w:r>
    <w:r w:rsidRPr="00092D62">
      <w:rPr>
        <w:rFonts w:ascii="Times New Roman" w:hAnsi="Times New Roman" w:cs="Times New Roman"/>
        <w:color w:val="000000" w:themeColor="text1"/>
        <w:spacing w:val="-3"/>
        <w:w w:val="105"/>
        <w:sz w:val="24"/>
        <w:szCs w:val="24"/>
      </w:rPr>
      <w:t>Rec</w:t>
    </w:r>
    <w:r w:rsidRPr="00092D62">
      <w:rPr>
        <w:rFonts w:ascii="Times New Roman" w:hAnsi="Times New Roman" w:cs="Times New Roman"/>
        <w:color w:val="000000" w:themeColor="text1"/>
        <w:spacing w:val="-3"/>
        <w:w w:val="105"/>
        <w:sz w:val="24"/>
        <w:szCs w:val="24"/>
        <w:lang w:val="uk-UA"/>
      </w:rPr>
      <w:t>(2022)9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62" w:rsidRDefault="00092D62" w:rsidP="00092D62">
    <w:pPr>
      <w:pStyle w:val="a7"/>
      <w:jc w:val="right"/>
    </w:pPr>
    <w:r w:rsidRPr="00BF7B5C">
      <w:rPr>
        <w:rFonts w:ascii="Times New Roman" w:hAnsi="Times New Roman" w:cs="Times New Roman"/>
        <w:spacing w:val="-3"/>
        <w:w w:val="105"/>
        <w:sz w:val="24"/>
        <w:szCs w:val="24"/>
        <w:lang w:val="uk-UA"/>
      </w:rPr>
      <w:t>CM/</w:t>
    </w:r>
    <w:r w:rsidRPr="00BF7B5C">
      <w:rPr>
        <w:rFonts w:ascii="Times New Roman" w:hAnsi="Times New Roman" w:cs="Times New Roman"/>
        <w:spacing w:val="-3"/>
        <w:w w:val="105"/>
        <w:sz w:val="24"/>
        <w:szCs w:val="24"/>
      </w:rPr>
      <w:t>Rec</w:t>
    </w:r>
    <w:r w:rsidRPr="00BF7B5C">
      <w:rPr>
        <w:rFonts w:ascii="Times New Roman" w:hAnsi="Times New Roman" w:cs="Times New Roman"/>
        <w:spacing w:val="-3"/>
        <w:w w:val="105"/>
        <w:sz w:val="24"/>
        <w:szCs w:val="24"/>
        <w:lang w:val="uk-UA"/>
      </w:rPr>
      <w:t>(2022)9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BCE"/>
    <w:multiLevelType w:val="hybridMultilevel"/>
    <w:tmpl w:val="A01A95F6"/>
    <w:lvl w:ilvl="0" w:tplc="1164858A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B96"/>
    <w:multiLevelType w:val="hybridMultilevel"/>
    <w:tmpl w:val="471EABF6"/>
    <w:lvl w:ilvl="0" w:tplc="29E6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w w:val="105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0BE4"/>
    <w:multiLevelType w:val="hybridMultilevel"/>
    <w:tmpl w:val="C58639D4"/>
    <w:lvl w:ilvl="0" w:tplc="7C82F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731"/>
    <w:multiLevelType w:val="hybridMultilevel"/>
    <w:tmpl w:val="21D2C156"/>
    <w:lvl w:ilvl="0" w:tplc="EDCEB9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E4BE1"/>
    <w:multiLevelType w:val="hybridMultilevel"/>
    <w:tmpl w:val="9248540A"/>
    <w:lvl w:ilvl="0" w:tplc="7C82F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A2FA8"/>
    <w:multiLevelType w:val="hybridMultilevel"/>
    <w:tmpl w:val="AC6E7E50"/>
    <w:lvl w:ilvl="0" w:tplc="21504616">
      <w:start w:val="1"/>
      <w:numFmt w:val="upperLetter"/>
      <w:lvlText w:val="%1."/>
      <w:lvlJc w:val="left"/>
      <w:pPr>
        <w:ind w:left="1406" w:hanging="55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A65DDD"/>
    <w:multiLevelType w:val="hybridMultilevel"/>
    <w:tmpl w:val="441C7AF2"/>
    <w:lvl w:ilvl="0" w:tplc="6644BBB2"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9049D"/>
    <w:multiLevelType w:val="hybridMultilevel"/>
    <w:tmpl w:val="48A07E28"/>
    <w:lvl w:ilvl="0" w:tplc="DBF6F9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5C256D"/>
    <w:multiLevelType w:val="hybridMultilevel"/>
    <w:tmpl w:val="1FC88EDA"/>
    <w:lvl w:ilvl="0" w:tplc="DBF6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E616C"/>
    <w:multiLevelType w:val="hybridMultilevel"/>
    <w:tmpl w:val="50F8C176"/>
    <w:lvl w:ilvl="0" w:tplc="DBF6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57C8F"/>
    <w:multiLevelType w:val="hybridMultilevel"/>
    <w:tmpl w:val="A0AA17C8"/>
    <w:lvl w:ilvl="0" w:tplc="DBF6F9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D4330"/>
    <w:multiLevelType w:val="hybridMultilevel"/>
    <w:tmpl w:val="7E8E9D24"/>
    <w:lvl w:ilvl="0" w:tplc="DBF6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10B61"/>
    <w:multiLevelType w:val="hybridMultilevel"/>
    <w:tmpl w:val="5ECC54A0"/>
    <w:lvl w:ilvl="0" w:tplc="DBF6F9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527F80"/>
    <w:multiLevelType w:val="hybridMultilevel"/>
    <w:tmpl w:val="5A1C48A4"/>
    <w:lvl w:ilvl="0" w:tplc="DBF6F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3649A"/>
    <w:multiLevelType w:val="hybridMultilevel"/>
    <w:tmpl w:val="88C4333A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62"/>
    <w:rsid w:val="00013852"/>
    <w:rsid w:val="00016F1D"/>
    <w:rsid w:val="000170E4"/>
    <w:rsid w:val="00066457"/>
    <w:rsid w:val="00092D62"/>
    <w:rsid w:val="000A16BF"/>
    <w:rsid w:val="00153343"/>
    <w:rsid w:val="00166DB4"/>
    <w:rsid w:val="001D6803"/>
    <w:rsid w:val="001E7009"/>
    <w:rsid w:val="00271DC1"/>
    <w:rsid w:val="002B1164"/>
    <w:rsid w:val="002C0310"/>
    <w:rsid w:val="002F487A"/>
    <w:rsid w:val="002F4E35"/>
    <w:rsid w:val="0034499F"/>
    <w:rsid w:val="003623A4"/>
    <w:rsid w:val="0036672E"/>
    <w:rsid w:val="004132F0"/>
    <w:rsid w:val="004266C1"/>
    <w:rsid w:val="004545EF"/>
    <w:rsid w:val="00465A8E"/>
    <w:rsid w:val="00471FF6"/>
    <w:rsid w:val="0047360B"/>
    <w:rsid w:val="004F4A3A"/>
    <w:rsid w:val="005044C8"/>
    <w:rsid w:val="005521DF"/>
    <w:rsid w:val="0056015B"/>
    <w:rsid w:val="0057023F"/>
    <w:rsid w:val="005A4A9A"/>
    <w:rsid w:val="005B2589"/>
    <w:rsid w:val="005D0F47"/>
    <w:rsid w:val="005E3C16"/>
    <w:rsid w:val="00615F26"/>
    <w:rsid w:val="00653B7E"/>
    <w:rsid w:val="00670623"/>
    <w:rsid w:val="006B1BD1"/>
    <w:rsid w:val="00747643"/>
    <w:rsid w:val="0075005D"/>
    <w:rsid w:val="007673DF"/>
    <w:rsid w:val="00773B5A"/>
    <w:rsid w:val="007A13C2"/>
    <w:rsid w:val="007A4411"/>
    <w:rsid w:val="007E525C"/>
    <w:rsid w:val="00800F8E"/>
    <w:rsid w:val="008503FF"/>
    <w:rsid w:val="008663D3"/>
    <w:rsid w:val="008A3009"/>
    <w:rsid w:val="008B069F"/>
    <w:rsid w:val="008B1E25"/>
    <w:rsid w:val="008B5E3C"/>
    <w:rsid w:val="008C0FC2"/>
    <w:rsid w:val="008D7631"/>
    <w:rsid w:val="0090146D"/>
    <w:rsid w:val="00906A4D"/>
    <w:rsid w:val="0091414D"/>
    <w:rsid w:val="0098786A"/>
    <w:rsid w:val="009D2B18"/>
    <w:rsid w:val="00A40BBA"/>
    <w:rsid w:val="00A4142F"/>
    <w:rsid w:val="00A44EBC"/>
    <w:rsid w:val="00A46062"/>
    <w:rsid w:val="00A50556"/>
    <w:rsid w:val="00A67E0F"/>
    <w:rsid w:val="00A75D42"/>
    <w:rsid w:val="00A839A4"/>
    <w:rsid w:val="00A97B47"/>
    <w:rsid w:val="00AF6E12"/>
    <w:rsid w:val="00B4246A"/>
    <w:rsid w:val="00B95DA7"/>
    <w:rsid w:val="00BB6134"/>
    <w:rsid w:val="00BC21D8"/>
    <w:rsid w:val="00BE39AF"/>
    <w:rsid w:val="00BE5195"/>
    <w:rsid w:val="00BF7B5C"/>
    <w:rsid w:val="00C10734"/>
    <w:rsid w:val="00C56256"/>
    <w:rsid w:val="00CD2B2D"/>
    <w:rsid w:val="00D324CB"/>
    <w:rsid w:val="00D43E41"/>
    <w:rsid w:val="00D54F3C"/>
    <w:rsid w:val="00D60673"/>
    <w:rsid w:val="00D6450E"/>
    <w:rsid w:val="00D65386"/>
    <w:rsid w:val="00D71DA1"/>
    <w:rsid w:val="00DC6A8A"/>
    <w:rsid w:val="00DF3A93"/>
    <w:rsid w:val="00E32C99"/>
    <w:rsid w:val="00E42B66"/>
    <w:rsid w:val="00E50D92"/>
    <w:rsid w:val="00E568CE"/>
    <w:rsid w:val="00E81290"/>
    <w:rsid w:val="00EC7896"/>
    <w:rsid w:val="00F27D2C"/>
    <w:rsid w:val="00F36DF4"/>
    <w:rsid w:val="00F37731"/>
    <w:rsid w:val="00F7666E"/>
    <w:rsid w:val="00F85353"/>
    <w:rsid w:val="00F907B0"/>
    <w:rsid w:val="00FB3F14"/>
    <w:rsid w:val="00FB7FBF"/>
    <w:rsid w:val="00FF065E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1DA1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D71DA1"/>
    <w:rPr>
      <w:rFonts w:ascii="Arial MT" w:eastAsia="Arial MT" w:hAnsi="Arial MT" w:cs="Arial MT"/>
      <w:sz w:val="19"/>
      <w:szCs w:val="19"/>
      <w:lang w:val="en-US"/>
    </w:rPr>
  </w:style>
  <w:style w:type="paragraph" w:styleId="a5">
    <w:name w:val="Title"/>
    <w:basedOn w:val="a"/>
    <w:link w:val="a6"/>
    <w:uiPriority w:val="1"/>
    <w:qFormat/>
    <w:rsid w:val="00D71DA1"/>
    <w:pPr>
      <w:spacing w:before="110"/>
      <w:ind w:left="126" w:right="3143"/>
    </w:pPr>
    <w:rPr>
      <w:rFonts w:ascii="Arial" w:eastAsia="Arial" w:hAnsi="Arial" w:cs="Arial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71DA1"/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71DA1"/>
    <w:pPr>
      <w:spacing w:before="46"/>
      <w:ind w:left="-1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BF7B5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B5C"/>
    <w:rPr>
      <w:rFonts w:ascii="Arial MT" w:eastAsia="Arial MT" w:hAnsi="Arial MT" w:cs="Arial MT"/>
      <w:lang w:val="en-US"/>
    </w:rPr>
  </w:style>
  <w:style w:type="paragraph" w:styleId="a9">
    <w:name w:val="footer"/>
    <w:basedOn w:val="a"/>
    <w:link w:val="aa"/>
    <w:uiPriority w:val="99"/>
    <w:unhideWhenUsed/>
    <w:rsid w:val="00BF7B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B5C"/>
    <w:rPr>
      <w:rFonts w:ascii="Arial MT" w:eastAsia="Arial MT" w:hAnsi="Arial MT" w:cs="Arial MT"/>
      <w:lang w:val="en-US"/>
    </w:rPr>
  </w:style>
  <w:style w:type="paragraph" w:styleId="ab">
    <w:name w:val="List Paragraph"/>
    <w:basedOn w:val="a"/>
    <w:uiPriority w:val="34"/>
    <w:qFormat/>
    <w:rsid w:val="00BF7B5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92D6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03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03FF"/>
    <w:rPr>
      <w:rFonts w:ascii="Tahoma" w:eastAsia="Arial MT" w:hAnsi="Tahoma" w:cs="Tahoma"/>
      <w:sz w:val="16"/>
      <w:szCs w:val="16"/>
      <w:lang w:val="en-US"/>
    </w:rPr>
  </w:style>
  <w:style w:type="character" w:styleId="af">
    <w:name w:val="FollowedHyperlink"/>
    <w:basedOn w:val="a0"/>
    <w:uiPriority w:val="99"/>
    <w:semiHidden/>
    <w:unhideWhenUsed/>
    <w:rsid w:val="00E50D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A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1DA1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D71DA1"/>
    <w:rPr>
      <w:rFonts w:ascii="Arial MT" w:eastAsia="Arial MT" w:hAnsi="Arial MT" w:cs="Arial MT"/>
      <w:sz w:val="19"/>
      <w:szCs w:val="19"/>
      <w:lang w:val="en-US"/>
    </w:rPr>
  </w:style>
  <w:style w:type="paragraph" w:styleId="a5">
    <w:name w:val="Title"/>
    <w:basedOn w:val="a"/>
    <w:link w:val="a6"/>
    <w:uiPriority w:val="1"/>
    <w:qFormat/>
    <w:rsid w:val="00D71DA1"/>
    <w:pPr>
      <w:spacing w:before="110"/>
      <w:ind w:left="126" w:right="3143"/>
    </w:pPr>
    <w:rPr>
      <w:rFonts w:ascii="Arial" w:eastAsia="Arial" w:hAnsi="Arial" w:cs="Arial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71DA1"/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71DA1"/>
    <w:pPr>
      <w:spacing w:before="46"/>
      <w:ind w:left="-1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BF7B5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7B5C"/>
    <w:rPr>
      <w:rFonts w:ascii="Arial MT" w:eastAsia="Arial MT" w:hAnsi="Arial MT" w:cs="Arial MT"/>
      <w:lang w:val="en-US"/>
    </w:rPr>
  </w:style>
  <w:style w:type="paragraph" w:styleId="a9">
    <w:name w:val="footer"/>
    <w:basedOn w:val="a"/>
    <w:link w:val="aa"/>
    <w:uiPriority w:val="99"/>
    <w:unhideWhenUsed/>
    <w:rsid w:val="00BF7B5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7B5C"/>
    <w:rPr>
      <w:rFonts w:ascii="Arial MT" w:eastAsia="Arial MT" w:hAnsi="Arial MT" w:cs="Arial MT"/>
      <w:lang w:val="en-US"/>
    </w:rPr>
  </w:style>
  <w:style w:type="paragraph" w:styleId="ab">
    <w:name w:val="List Paragraph"/>
    <w:basedOn w:val="a"/>
    <w:uiPriority w:val="34"/>
    <w:qFormat/>
    <w:rsid w:val="00BF7B5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92D6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03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03FF"/>
    <w:rPr>
      <w:rFonts w:ascii="Tahoma" w:eastAsia="Arial MT" w:hAnsi="Tahoma" w:cs="Tahoma"/>
      <w:sz w:val="16"/>
      <w:szCs w:val="16"/>
      <w:lang w:val="en-US"/>
    </w:rPr>
  </w:style>
  <w:style w:type="character" w:styleId="af">
    <w:name w:val="FollowedHyperlink"/>
    <w:basedOn w:val="a0"/>
    <w:uiPriority w:val="99"/>
    <w:semiHidden/>
    <w:unhideWhenUsed/>
    <w:rsid w:val="00E50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arch.coe.int/cm/Pages/result_details.aspx?ObjectID=09000016804c4a0f" TargetMode="External"/><Relationship Id="rId18" Type="http://schemas.openxmlformats.org/officeDocument/2006/relationships/hyperlink" Target="https://search.coe.int/cm/Pages/result_details.aspx?ObjectID=09000016804dcca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earch.coe.int/cm/Pages/result_details.aspx?ObjectID=09000016804f4429" TargetMode="External"/><Relationship Id="rId17" Type="http://schemas.openxmlformats.org/officeDocument/2006/relationships/hyperlink" Target="https://search.coe.int/cm/Pages/result_details.aspx?ObjectID=09000016804f120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earch.coe.int/cm/Pages/result_details.aspx?ObjectID=09000016804e24d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earch.coe.int/cm/Pages/result_details.aspx?ObjectId=09000016805d808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earch.coe.int/cm/Pages/result_details.aspx?ObjectID=09000016804c4f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earch.coe.int/cm/Pages/result_details.aspx?ObjectID=09000016805caa8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rch.coe.int/cm/Pages/result_details.aspx?ObjectID=09000016805caa9b" TargetMode="External"/><Relationship Id="rId14" Type="http://schemas.openxmlformats.org/officeDocument/2006/relationships/hyperlink" Target="https://search.coe.int/cm/Pages/result_details.aspx?ObjectID=09000016804f836b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12</Pages>
  <Words>20266</Words>
  <Characters>11553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Погребняк Єлизавета Володимирівна</dc:creator>
  <cp:keywords/>
  <dc:description/>
  <cp:lastModifiedBy>Купач Дарина Андріївна</cp:lastModifiedBy>
  <cp:revision>56</cp:revision>
  <dcterms:created xsi:type="dcterms:W3CDTF">2024-01-26T07:40:00Z</dcterms:created>
  <dcterms:modified xsi:type="dcterms:W3CDTF">2024-02-21T12:38:00Z</dcterms:modified>
</cp:coreProperties>
</file>