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5B" w:rsidRPr="00E04004" w:rsidRDefault="00984946" w:rsidP="00EC5ED7">
      <w:pPr>
        <w:pStyle w:val="a3"/>
        <w:ind w:left="579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4946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-153670</wp:posOffset>
                </wp:positionH>
                <wp:positionV relativeFrom="paragraph">
                  <wp:posOffset>-85725</wp:posOffset>
                </wp:positionV>
                <wp:extent cx="2374265" cy="1403985"/>
                <wp:effectExtent l="0" t="0" r="8255" b="571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946" w:rsidRPr="00984946" w:rsidRDefault="00984946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</w:pPr>
                            <w:r w:rsidRPr="00984946">
                              <w:rPr>
                                <w:rFonts w:ascii="Times New Roman" w:hAnsi="Times New Roman" w:cs="Times New Roman"/>
                                <w:i/>
                                <w:lang w:val="uk-UA"/>
                              </w:rPr>
                              <w:t>Неофіційний переклад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1pt;margin-top:-6.75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MZXEI7iAAAACwEA&#10;AA8AAAAAAAAAAAAAAAAAlQQAAGRycy9kb3ducmV2LnhtbFBLBQYAAAAABAAEAPMAAACkBQAAAAA=&#10;" stroked="f">
                <v:textbox style="mso-fit-shape-to-text:t">
                  <w:txbxContent>
                    <w:p w:rsidR="00984946" w:rsidRPr="00984946" w:rsidRDefault="00984946">
                      <w:pPr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</w:pPr>
                      <w:r w:rsidRPr="00984946">
                        <w:rPr>
                          <w:rFonts w:ascii="Times New Roman" w:hAnsi="Times New Roman" w:cs="Times New Roman"/>
                          <w:i/>
                          <w:lang w:val="uk-UA"/>
                        </w:rPr>
                        <w:t>Неофіційний переклад</w:t>
                      </w:r>
                    </w:p>
                  </w:txbxContent>
                </v:textbox>
              </v:shape>
            </w:pict>
          </mc:Fallback>
        </mc:AlternateContent>
      </w:r>
      <w:r w:rsidR="00D23B3C" w:rsidRPr="00E04004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343091" cy="8458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091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65B" w:rsidRPr="00E04004" w:rsidRDefault="00BF365B" w:rsidP="00EC5E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365B" w:rsidRPr="00E04004" w:rsidRDefault="00BF365B" w:rsidP="00EC5E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365B" w:rsidRPr="00E04004" w:rsidRDefault="00BF365B" w:rsidP="00EC5E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9566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2555"/>
        <w:gridCol w:w="1831"/>
        <w:gridCol w:w="3555"/>
        <w:gridCol w:w="1625"/>
      </w:tblGrid>
      <w:tr w:rsidR="00BF365B" w:rsidRPr="00E04004" w:rsidTr="00E04004">
        <w:trPr>
          <w:trHeight w:val="630"/>
        </w:trPr>
        <w:tc>
          <w:tcPr>
            <w:tcW w:w="2555" w:type="dxa"/>
          </w:tcPr>
          <w:p w:rsidR="00BF365B" w:rsidRPr="00E04004" w:rsidRDefault="00094A86" w:rsidP="00094A86">
            <w:pPr>
              <w:pStyle w:val="TableParagraph"/>
              <w:ind w:left="0"/>
              <w:jc w:val="center"/>
              <w:rPr>
                <w:rFonts w:ascii="Times New Roman" w:eastAsia="Arial MT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</w:pPr>
            <w:r w:rsidRPr="00E04004">
              <w:rPr>
                <w:rFonts w:ascii="Times New Roman" w:eastAsia="Arial MT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  <w:t>ЗАСТУПНИКИ МІНІСТРІВ</w:t>
            </w:r>
          </w:p>
        </w:tc>
        <w:tc>
          <w:tcPr>
            <w:tcW w:w="1831" w:type="dxa"/>
          </w:tcPr>
          <w:p w:rsidR="00BF365B" w:rsidRPr="00E04004" w:rsidRDefault="00E04004" w:rsidP="00094A86">
            <w:pPr>
              <w:pStyle w:val="TableParagraph"/>
              <w:ind w:left="0"/>
              <w:jc w:val="center"/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</w:pPr>
            <w:r w:rsidRPr="00E04004"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  <w:t>Документи Комітету міністрів Ради Європи</w:t>
            </w:r>
          </w:p>
        </w:tc>
        <w:tc>
          <w:tcPr>
            <w:tcW w:w="3555" w:type="dxa"/>
          </w:tcPr>
          <w:p w:rsidR="00BF365B" w:rsidRPr="00E04004" w:rsidRDefault="00D23B3C" w:rsidP="00094A86">
            <w:pPr>
              <w:pStyle w:val="TableParagraph"/>
              <w:spacing w:before="0"/>
              <w:ind w:left="0"/>
              <w:jc w:val="center"/>
              <w:rPr>
                <w:rFonts w:ascii="Times New Roman" w:eastAsia="Arial MT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</w:pPr>
            <w:r w:rsidRPr="00E04004">
              <w:rPr>
                <w:rFonts w:ascii="Times New Roman" w:eastAsia="Arial MT" w:hAnsi="Times New Roman" w:cs="Times New Roman"/>
                <w:b/>
                <w:spacing w:val="-3"/>
                <w:w w:val="105"/>
                <w:sz w:val="24"/>
                <w:szCs w:val="24"/>
                <w:lang w:val="uk-UA"/>
              </w:rPr>
              <w:t>CM/AS(2021)Rec2188-final</w:t>
            </w:r>
          </w:p>
        </w:tc>
        <w:tc>
          <w:tcPr>
            <w:tcW w:w="1625" w:type="dxa"/>
          </w:tcPr>
          <w:p w:rsidR="00BF365B" w:rsidRPr="00E04004" w:rsidRDefault="00D23B3C" w:rsidP="00094A86">
            <w:pPr>
              <w:pStyle w:val="TableParagraph"/>
              <w:spacing w:before="59"/>
              <w:ind w:left="0" w:right="-15"/>
              <w:jc w:val="center"/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</w:pPr>
            <w:r w:rsidRPr="00E04004"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  <w:t xml:space="preserve">30 </w:t>
            </w:r>
            <w:r w:rsidR="00EC5ED7" w:rsidRPr="00E04004"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  <w:t>червня</w:t>
            </w:r>
            <w:r w:rsidRPr="00E04004">
              <w:rPr>
                <w:rFonts w:ascii="Times New Roman" w:eastAsia="Arial MT" w:hAnsi="Times New Roman" w:cs="Times New Roman"/>
                <w:spacing w:val="-3"/>
                <w:w w:val="105"/>
                <w:sz w:val="24"/>
                <w:szCs w:val="24"/>
                <w:lang w:val="uk-UA"/>
              </w:rPr>
              <w:t xml:space="preserve"> 2021</w:t>
            </w:r>
          </w:p>
        </w:tc>
      </w:tr>
    </w:tbl>
    <w:p w:rsidR="00BF365B" w:rsidRPr="00E04004" w:rsidRDefault="00BF365B" w:rsidP="00094A86">
      <w:pPr>
        <w:pStyle w:val="a3"/>
        <w:spacing w:before="1"/>
        <w:jc w:val="center"/>
        <w:rPr>
          <w:rFonts w:ascii="Times New Roman" w:hAnsi="Times New Roman" w:cs="Times New Roman"/>
          <w:spacing w:val="-3"/>
          <w:w w:val="105"/>
          <w:sz w:val="24"/>
          <w:szCs w:val="24"/>
          <w:lang w:val="uk-UA"/>
        </w:rPr>
      </w:pPr>
    </w:p>
    <w:p w:rsidR="00BF365B" w:rsidRPr="00E04004" w:rsidRDefault="00D23B3C" w:rsidP="00B65919">
      <w:pPr>
        <w:pStyle w:val="a4"/>
        <w:ind w:right="3689"/>
        <w:jc w:val="both"/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</w:pPr>
      <w:r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“</w:t>
      </w:r>
      <w:r w:rsidR="00094A86"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Принципи та </w:t>
      </w:r>
      <w:r w:rsidR="00E04004"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гарантії</w:t>
      </w:r>
      <w:r w:rsidR="00094A86"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 </w:t>
      </w:r>
      <w:r w:rsidR="00B65919"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діяльності </w:t>
      </w:r>
      <w:r w:rsidR="00094A86"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адвокатів</w:t>
      </w:r>
      <w:r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” – </w:t>
      </w:r>
      <w:r w:rsidR="00B65919"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 xml:space="preserve">Рекомендація Парламентської асамблеї </w:t>
      </w:r>
      <w:r w:rsidRPr="00E04004">
        <w:rPr>
          <w:rFonts w:ascii="Times New Roman" w:eastAsia="Arial MT" w:hAnsi="Times New Roman" w:cs="Times New Roman"/>
          <w:bCs w:val="0"/>
          <w:spacing w:val="-3"/>
          <w:w w:val="105"/>
          <w:lang w:val="uk-UA"/>
        </w:rPr>
        <w:t>2188 (2020)</w:t>
      </w:r>
    </w:p>
    <w:p w:rsidR="00094A86" w:rsidRPr="00E04004" w:rsidRDefault="00094A86" w:rsidP="00EC5ED7">
      <w:pPr>
        <w:spacing w:before="2"/>
        <w:ind w:left="126"/>
        <w:jc w:val="both"/>
        <w:rPr>
          <w:rFonts w:ascii="Times New Roman" w:hAnsi="Times New Roman" w:cs="Times New Roman"/>
          <w:spacing w:val="-3"/>
          <w:w w:val="105"/>
          <w:sz w:val="24"/>
          <w:szCs w:val="24"/>
          <w:lang w:val="uk-UA"/>
        </w:rPr>
      </w:pPr>
      <w:r w:rsidRPr="00E04004">
        <w:rPr>
          <w:rFonts w:ascii="Times New Roman" w:hAnsi="Times New Roman" w:cs="Times New Roman"/>
          <w:spacing w:val="-3"/>
          <w:w w:val="105"/>
          <w:sz w:val="24"/>
          <w:szCs w:val="24"/>
          <w:lang w:val="uk-UA"/>
        </w:rPr>
        <w:t>(Відповідь</w:t>
      </w:r>
      <w:r w:rsidR="00DA7ACB" w:rsidRPr="00DA7ACB">
        <w:rPr>
          <w:rFonts w:ascii="Times New Roman" w:hAnsi="Times New Roman" w:cs="Times New Roman"/>
          <w:spacing w:val="-3"/>
          <w:w w:val="105"/>
          <w:sz w:val="24"/>
          <w:szCs w:val="24"/>
          <w:lang w:val="uk-UA"/>
        </w:rPr>
        <w:t>,</w:t>
      </w:r>
      <w:bookmarkStart w:id="0" w:name="_GoBack"/>
      <w:bookmarkEnd w:id="0"/>
      <w:r w:rsidRPr="00E04004">
        <w:rPr>
          <w:rFonts w:ascii="Times New Roman" w:hAnsi="Times New Roman" w:cs="Times New Roman"/>
          <w:spacing w:val="-3"/>
          <w:w w:val="105"/>
          <w:sz w:val="24"/>
          <w:szCs w:val="24"/>
          <w:lang w:val="uk-UA"/>
        </w:rPr>
        <w:t xml:space="preserve"> ухвалена</w:t>
      </w:r>
      <w:r w:rsidR="00E04004" w:rsidRPr="00E04004">
        <w:rPr>
          <w:rFonts w:ascii="Times New Roman" w:hAnsi="Times New Roman" w:cs="Times New Roman"/>
          <w:spacing w:val="-3"/>
          <w:w w:val="105"/>
          <w:sz w:val="24"/>
          <w:szCs w:val="24"/>
          <w:lang w:val="uk-UA"/>
        </w:rPr>
        <w:t xml:space="preserve"> Комітетом м</w:t>
      </w:r>
      <w:r w:rsidRPr="00E04004">
        <w:rPr>
          <w:rFonts w:ascii="Times New Roman" w:hAnsi="Times New Roman" w:cs="Times New Roman"/>
          <w:spacing w:val="-3"/>
          <w:w w:val="105"/>
          <w:sz w:val="24"/>
          <w:szCs w:val="24"/>
          <w:lang w:val="uk-UA"/>
        </w:rPr>
        <w:t>іністрів Ради Європи на 1408 засіданні заступників міністрів 30 червня 2021 року)</w:t>
      </w:r>
    </w:p>
    <w:p w:rsidR="00BF365B" w:rsidRPr="00E04004" w:rsidRDefault="00A97C8E" w:rsidP="001F26AB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004">
        <w:rPr>
          <w:rFonts w:ascii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161290</wp:posOffset>
                </wp:positionV>
                <wp:extent cx="6084570" cy="952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45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C6178B3" id="Rectangle 2" o:spid="_x0000_s1026" style="position:absolute;margin-left:58.6pt;margin-top:12.7pt;width:479.1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094A86" w:rsidRPr="00E04004" w:rsidRDefault="00094A86" w:rsidP="008C3A9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004">
        <w:rPr>
          <w:rFonts w:ascii="Times New Roman" w:hAnsi="Times New Roman" w:cs="Times New Roman"/>
          <w:sz w:val="24"/>
          <w:szCs w:val="24"/>
          <w:lang w:val="uk-UA"/>
        </w:rPr>
        <w:t>Комітет міністрів розглянув Рекомендацію Парла</w:t>
      </w:r>
      <w:r w:rsidR="00B65919" w:rsidRPr="00E04004">
        <w:rPr>
          <w:rFonts w:ascii="Times New Roman" w:hAnsi="Times New Roman" w:cs="Times New Roman"/>
          <w:sz w:val="24"/>
          <w:szCs w:val="24"/>
          <w:lang w:val="uk-UA"/>
        </w:rPr>
        <w:t>ментської асамблеї 2188 (2020) «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Принципи та </w:t>
      </w:r>
      <w:r w:rsidR="00E04004" w:rsidRPr="00E04004">
        <w:rPr>
          <w:rFonts w:ascii="Times New Roman" w:hAnsi="Times New Roman" w:cs="Times New Roman"/>
          <w:sz w:val="24"/>
          <w:szCs w:val="24"/>
          <w:lang w:val="uk-UA"/>
        </w:rPr>
        <w:t>гарантії</w:t>
      </w:r>
      <w:r w:rsidR="00B65919"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адвокатів»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>, яку він направив до Спеціального комітету з питань штучного інтелекту (CAHAI) та Європейського комітету з правового співробітництва (CDCJ) для отримання інформації та можливих коментарів.</w:t>
      </w:r>
    </w:p>
    <w:p w:rsidR="00E04004" w:rsidRPr="00E04004" w:rsidRDefault="00E04004" w:rsidP="008C3A9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4004" w:rsidRPr="00E04004" w:rsidRDefault="00313F2D" w:rsidP="008C3A9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Комітет повністю погоджується з Парламентською асамблеєю в тому, що адвокати відіграють </w:t>
      </w:r>
      <w:r w:rsidR="00E04004" w:rsidRPr="00E04004">
        <w:rPr>
          <w:rFonts w:ascii="Times New Roman" w:hAnsi="Times New Roman" w:cs="Times New Roman"/>
          <w:sz w:val="24"/>
          <w:szCs w:val="24"/>
          <w:lang w:val="uk-UA"/>
        </w:rPr>
        <w:t>ключову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роль у захисті прав людини, зокрема права на справедливий судовий розгляд, а також у впровадженні принципів верховенства права. Однаковою мірою, Комітет занепокоєний чисельними випадками порушень прав адвокатів, зокрема</w:t>
      </w:r>
      <w:r w:rsidR="00E04004" w:rsidRPr="00E040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посягання на їхню безпеку та незалежність, що мали місце в останні роки.</w:t>
      </w:r>
    </w:p>
    <w:p w:rsidR="00E04004" w:rsidRPr="00E04004" w:rsidRDefault="00E04004" w:rsidP="008C3A9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4004" w:rsidRPr="00E04004" w:rsidRDefault="00E04004" w:rsidP="008C3A9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Хоча </w:t>
      </w:r>
      <w:r w:rsidR="00D0019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0019E"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Rec(2000)21 Комітету міністрів щодо свободи здійснення адвокатської діяльності </w:t>
      </w:r>
      <w:r w:rsidR="00D0019E">
        <w:rPr>
          <w:rFonts w:ascii="Times New Roman" w:hAnsi="Times New Roman" w:cs="Times New Roman"/>
          <w:sz w:val="24"/>
          <w:szCs w:val="24"/>
          <w:lang w:val="uk-UA"/>
        </w:rPr>
        <w:t>встановлено мінімальні стандарти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>, Комітет</w:t>
      </w:r>
      <w:r w:rsidR="00D0019E">
        <w:rPr>
          <w:rFonts w:ascii="Times New Roman" w:hAnsi="Times New Roman" w:cs="Times New Roman"/>
          <w:sz w:val="24"/>
          <w:szCs w:val="24"/>
          <w:lang w:val="uk-UA"/>
        </w:rPr>
        <w:t>у відомо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, що цей інструмент не може більше забезпечувати необхідний рівень захисту адвокатів у сучасному суспільстві. Таким чином, щодо можливої розробки нового інструмента, Комітет нагадує, що він нещодавно взяв до уваги дослідження, проведене Європейським комітетом з правового співробітництва (CDCJ) на тему «Доцільність нового, обов’язкового або необов’язкового, європейського правового інструмента щодо професії адвоката – можливі врахування додаткової цінності наявних варіантів та їх ефективності». Дослідження виявило прогалини в правовому захисті та проблеми, з якими стикаються адвокати, та наголосило на явній потребі у покращенні мінімального набору стандартів, </w:t>
      </w:r>
      <w:r w:rsidR="00D0019E">
        <w:rPr>
          <w:rFonts w:ascii="Times New Roman" w:hAnsi="Times New Roman" w:cs="Times New Roman"/>
          <w:sz w:val="24"/>
          <w:szCs w:val="24"/>
          <w:lang w:val="uk-UA"/>
        </w:rPr>
        <w:t>що стосуються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адвокатів у зв’язку з їхньою професійною діяльністю. У дослідженні містилася рекомендація Комітету міністрів ініціювати розро</w:t>
      </w:r>
      <w:r w:rsidR="00D0019E">
        <w:rPr>
          <w:rFonts w:ascii="Times New Roman" w:hAnsi="Times New Roman" w:cs="Times New Roman"/>
          <w:sz w:val="24"/>
          <w:szCs w:val="24"/>
          <w:lang w:val="uk-UA"/>
        </w:rPr>
        <w:t>бку нового правового інструмента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, який забезпечував би ефективний захист адвокатів, дозволяючи їм займатися своєю професійною діяльністю вільно, без упереджень та обмежень та забезпечуючи захист і незалежність професії. Комітет міністрів також взяв до уваги </w:t>
      </w:r>
      <w:proofErr w:type="spellStart"/>
      <w:r w:rsidRPr="00E0400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019E">
        <w:rPr>
          <w:rFonts w:ascii="Times New Roman" w:hAnsi="Times New Roman" w:cs="Times New Roman"/>
          <w:sz w:val="24"/>
          <w:szCs w:val="24"/>
          <w:lang w:val="uk-UA"/>
        </w:rPr>
        <w:t xml:space="preserve">компетенції комітету експертів, який підпорядковується CDCJ, 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якому доручено розробити </w:t>
      </w:r>
      <w:proofErr w:type="spellStart"/>
      <w:r w:rsidRPr="00E04004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європейського правового інструмента, обов’язкового або необов’язкового щодо професії адвоката, який буде розглянуто восени 2021 року в рамках обговорення наступних Програми та бюджету. До прийняття рішення щодо розробки нового правового інструменту Комітет міністрів закликає держав-членів і надалі докладати зусилля для повного виконання положень Рекомендації Rec(2000)21, зокрема, шляхом співпраці з Радою Європи та проведенню навчальної діяльності.</w:t>
      </w:r>
    </w:p>
    <w:p w:rsidR="00E04004" w:rsidRPr="00E04004" w:rsidRDefault="00E04004" w:rsidP="008C3A9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4004" w:rsidRPr="00E04004" w:rsidRDefault="00313F2D" w:rsidP="008C3A9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004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Комітет міністрів також пам’ятає про неодноразовий заклик Парламентської асамблеї створити</w:t>
      </w:r>
      <w:r w:rsidR="00712AFB"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платформу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для захисту адвокатів від будь-якого втручання у здійснення їхньої професійної діяльності. У своїй відповіді </w:t>
      </w:r>
      <w:r w:rsidR="00712AFB" w:rsidRPr="00E04004">
        <w:rPr>
          <w:rFonts w:ascii="Times New Roman" w:hAnsi="Times New Roman" w:cs="Times New Roman"/>
          <w:sz w:val="24"/>
          <w:szCs w:val="24"/>
          <w:lang w:val="uk-UA"/>
        </w:rPr>
        <w:t>на Рекомендацію Парламентської а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самблеї 2121 (2018) Комітет заявив, що </w:t>
      </w:r>
      <w:r w:rsidR="00E04004"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пізніше </w:t>
      </w:r>
      <w:r w:rsidR="00712AFB" w:rsidRPr="00E04004">
        <w:rPr>
          <w:rFonts w:ascii="Times New Roman" w:hAnsi="Times New Roman" w:cs="Times New Roman"/>
          <w:sz w:val="24"/>
          <w:szCs w:val="24"/>
          <w:lang w:val="uk-UA"/>
        </w:rPr>
        <w:t>візьме до уваги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4004" w:rsidRPr="00E04004">
        <w:rPr>
          <w:rFonts w:ascii="Times New Roman" w:hAnsi="Times New Roman" w:cs="Times New Roman"/>
          <w:sz w:val="24"/>
          <w:szCs w:val="24"/>
          <w:lang w:val="uk-UA"/>
        </w:rPr>
        <w:t>переваги пропозиції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щодо механізмів раннього попередження для захисту різних професій, пов</w:t>
      </w:r>
      <w:r w:rsidR="00E04004"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’язаних із захистом прав людини, 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у світлі </w:t>
      </w:r>
      <w:r w:rsidR="006760F8">
        <w:rPr>
          <w:rFonts w:ascii="Times New Roman" w:hAnsi="Times New Roman" w:cs="Times New Roman"/>
          <w:sz w:val="24"/>
          <w:szCs w:val="24"/>
          <w:lang w:val="uk-UA"/>
        </w:rPr>
        <w:t>проведення дослідження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CDCJ </w:t>
      </w:r>
      <w:r w:rsidR="006760F8">
        <w:rPr>
          <w:rFonts w:ascii="Times New Roman" w:hAnsi="Times New Roman" w:cs="Times New Roman"/>
          <w:sz w:val="24"/>
          <w:szCs w:val="24"/>
          <w:lang w:val="uk-UA"/>
        </w:rPr>
        <w:t xml:space="preserve">щодо доцільності 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>та практики існуючих процедур і механізмів раннього попередження. З огляду на ма</w:t>
      </w:r>
      <w:r w:rsidR="00E04004"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йбутню роботу над Програмою та </w:t>
      </w:r>
      <w:r w:rsidR="006760F8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юджетом, яка включатиме </w:t>
      </w:r>
      <w:r w:rsidR="006760F8">
        <w:rPr>
          <w:rFonts w:ascii="Times New Roman" w:hAnsi="Times New Roman" w:cs="Times New Roman"/>
          <w:sz w:val="24"/>
          <w:szCs w:val="24"/>
          <w:lang w:val="uk-UA"/>
        </w:rPr>
        <w:t>оцінку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 xml:space="preserve"> майбутньої роботи Ради Європи щодо професії адвоката, як зазначено вище, Комітет міністрів </w:t>
      </w:r>
      <w:r w:rsidR="006760F8">
        <w:rPr>
          <w:rFonts w:ascii="Times New Roman" w:hAnsi="Times New Roman" w:cs="Times New Roman"/>
          <w:sz w:val="24"/>
          <w:szCs w:val="24"/>
          <w:lang w:val="uk-UA"/>
        </w:rPr>
        <w:t>дотримується своєї позиції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4004" w:rsidRPr="00E04004" w:rsidRDefault="00E04004" w:rsidP="008C3A9D">
      <w:pPr>
        <w:pStyle w:val="a5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BF365B" w:rsidRPr="00E04004" w:rsidRDefault="00E04004" w:rsidP="008C3A9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004">
        <w:rPr>
          <w:rFonts w:ascii="Times New Roman" w:hAnsi="Times New Roman" w:cs="Times New Roman"/>
          <w:sz w:val="24"/>
          <w:szCs w:val="24"/>
          <w:lang w:val="uk-UA"/>
        </w:rPr>
        <w:t>Врешті-решт, що стосується необхідності законодавчого забезпечення права на справедливий с</w:t>
      </w:r>
      <w:r w:rsidR="006760F8">
        <w:rPr>
          <w:rFonts w:ascii="Times New Roman" w:hAnsi="Times New Roman" w:cs="Times New Roman"/>
          <w:sz w:val="24"/>
          <w:szCs w:val="24"/>
          <w:lang w:val="uk-UA"/>
        </w:rPr>
        <w:t xml:space="preserve">уд, Комітет міністрів посилається на ч. </w:t>
      </w:r>
      <w:r w:rsidRPr="00E04004">
        <w:rPr>
          <w:rFonts w:ascii="Times New Roman" w:hAnsi="Times New Roman" w:cs="Times New Roman"/>
          <w:sz w:val="24"/>
          <w:szCs w:val="24"/>
          <w:lang w:val="uk-UA"/>
        </w:rPr>
        <w:t>1 ст. 6 Європейської конвенції з прав людини та усталену практику Європейського суду з прав людини щодо права на адвоката та про рівність сторін як невід’ємну складову справедливого судового розгляду. Забезпечення захисту адвокатів та інших учасників в судовому процесі нерозривно пов’язане із захистом права на справедливий суд.</w:t>
      </w:r>
    </w:p>
    <w:p w:rsidR="00BF365B" w:rsidRPr="00E04004" w:rsidRDefault="00BF365B" w:rsidP="00EC5ED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365B" w:rsidRPr="00E04004" w:rsidRDefault="00BF365B" w:rsidP="00EC5ED7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365B" w:rsidRPr="00E04004" w:rsidSect="00EC5ED7">
      <w:footerReference w:type="default" r:id="rId9"/>
      <w:type w:val="continuous"/>
      <w:pgSz w:w="11910" w:h="16850"/>
      <w:pgMar w:top="850" w:right="850" w:bottom="850" w:left="1417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92" w:rsidRDefault="004F4B92" w:rsidP="006760F8">
      <w:r>
        <w:separator/>
      </w:r>
    </w:p>
  </w:endnote>
  <w:endnote w:type="continuationSeparator" w:id="0">
    <w:p w:rsidR="004F4B92" w:rsidRDefault="004F4B92" w:rsidP="0067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F8" w:rsidRPr="006760F8" w:rsidRDefault="006760F8" w:rsidP="006760F8">
    <w:pPr>
      <w:spacing w:before="99"/>
      <w:ind w:left="126"/>
      <w:jc w:val="both"/>
      <w:rPr>
        <w:rFonts w:ascii="Times New Roman" w:hAnsi="Times New Roman" w:cs="Times New Roman"/>
        <w:sz w:val="20"/>
        <w:szCs w:val="20"/>
        <w:lang w:val="uk-UA"/>
      </w:rPr>
    </w:pPr>
    <w:r w:rsidRPr="006760F8">
      <w:rPr>
        <w:rFonts w:ascii="Times New Roman" w:hAnsi="Times New Roman" w:cs="Times New Roman"/>
        <w:sz w:val="20"/>
        <w:szCs w:val="20"/>
        <w:lang w:val="uk-UA"/>
      </w:rPr>
      <w:t xml:space="preserve">Офіційний сайт: </w:t>
    </w:r>
    <w:hyperlink r:id="rId1">
      <w:r w:rsidRPr="006760F8">
        <w:rPr>
          <w:rFonts w:ascii="Times New Roman" w:hAnsi="Times New Roman" w:cs="Times New Roman"/>
          <w:sz w:val="20"/>
          <w:szCs w:val="20"/>
          <w:lang w:val="uk-UA"/>
        </w:rPr>
        <w:t>w ww.coe.int/cm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92" w:rsidRDefault="004F4B92" w:rsidP="006760F8">
      <w:r>
        <w:separator/>
      </w:r>
    </w:p>
  </w:footnote>
  <w:footnote w:type="continuationSeparator" w:id="0">
    <w:p w:rsidR="004F4B92" w:rsidRDefault="004F4B92" w:rsidP="0067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58AD"/>
    <w:multiLevelType w:val="hybridMultilevel"/>
    <w:tmpl w:val="4DD2BFEA"/>
    <w:lvl w:ilvl="0" w:tplc="1254A2E0">
      <w:start w:val="1"/>
      <w:numFmt w:val="decimal"/>
      <w:lvlText w:val="%1."/>
      <w:lvlJc w:val="left"/>
      <w:pPr>
        <w:ind w:left="126" w:hanging="706"/>
      </w:pPr>
      <w:rPr>
        <w:rFonts w:ascii="Arial MT" w:eastAsia="Arial MT" w:hAnsi="Arial MT" w:cs="Arial MT" w:hint="default"/>
        <w:spacing w:val="-4"/>
        <w:w w:val="102"/>
        <w:sz w:val="19"/>
        <w:szCs w:val="19"/>
        <w:lang w:val="en-US" w:eastAsia="en-US" w:bidi="ar-SA"/>
      </w:rPr>
    </w:lvl>
    <w:lvl w:ilvl="1" w:tplc="E4342546">
      <w:numFmt w:val="bullet"/>
      <w:lvlText w:val="•"/>
      <w:lvlJc w:val="left"/>
      <w:pPr>
        <w:ind w:left="1089" w:hanging="706"/>
      </w:pPr>
      <w:rPr>
        <w:rFonts w:hint="default"/>
        <w:lang w:val="en-US" w:eastAsia="en-US" w:bidi="ar-SA"/>
      </w:rPr>
    </w:lvl>
    <w:lvl w:ilvl="2" w:tplc="51185B20">
      <w:numFmt w:val="bullet"/>
      <w:lvlText w:val="•"/>
      <w:lvlJc w:val="left"/>
      <w:pPr>
        <w:ind w:left="2058" w:hanging="706"/>
      </w:pPr>
      <w:rPr>
        <w:rFonts w:hint="default"/>
        <w:lang w:val="en-US" w:eastAsia="en-US" w:bidi="ar-SA"/>
      </w:rPr>
    </w:lvl>
    <w:lvl w:ilvl="3" w:tplc="5080AD5E">
      <w:numFmt w:val="bullet"/>
      <w:lvlText w:val="•"/>
      <w:lvlJc w:val="left"/>
      <w:pPr>
        <w:ind w:left="3027" w:hanging="706"/>
      </w:pPr>
      <w:rPr>
        <w:rFonts w:hint="default"/>
        <w:lang w:val="en-US" w:eastAsia="en-US" w:bidi="ar-SA"/>
      </w:rPr>
    </w:lvl>
    <w:lvl w:ilvl="4" w:tplc="618EE4D2">
      <w:numFmt w:val="bullet"/>
      <w:lvlText w:val="•"/>
      <w:lvlJc w:val="left"/>
      <w:pPr>
        <w:ind w:left="3996" w:hanging="706"/>
      </w:pPr>
      <w:rPr>
        <w:rFonts w:hint="default"/>
        <w:lang w:val="en-US" w:eastAsia="en-US" w:bidi="ar-SA"/>
      </w:rPr>
    </w:lvl>
    <w:lvl w:ilvl="5" w:tplc="DEFE54DA">
      <w:numFmt w:val="bullet"/>
      <w:lvlText w:val="•"/>
      <w:lvlJc w:val="left"/>
      <w:pPr>
        <w:ind w:left="4965" w:hanging="706"/>
      </w:pPr>
      <w:rPr>
        <w:rFonts w:hint="default"/>
        <w:lang w:val="en-US" w:eastAsia="en-US" w:bidi="ar-SA"/>
      </w:rPr>
    </w:lvl>
    <w:lvl w:ilvl="6" w:tplc="C84813BE">
      <w:numFmt w:val="bullet"/>
      <w:lvlText w:val="•"/>
      <w:lvlJc w:val="left"/>
      <w:pPr>
        <w:ind w:left="5934" w:hanging="706"/>
      </w:pPr>
      <w:rPr>
        <w:rFonts w:hint="default"/>
        <w:lang w:val="en-US" w:eastAsia="en-US" w:bidi="ar-SA"/>
      </w:rPr>
    </w:lvl>
    <w:lvl w:ilvl="7" w:tplc="9C96B0E4">
      <w:numFmt w:val="bullet"/>
      <w:lvlText w:val="•"/>
      <w:lvlJc w:val="left"/>
      <w:pPr>
        <w:ind w:left="6903" w:hanging="706"/>
      </w:pPr>
      <w:rPr>
        <w:rFonts w:hint="default"/>
        <w:lang w:val="en-US" w:eastAsia="en-US" w:bidi="ar-SA"/>
      </w:rPr>
    </w:lvl>
    <w:lvl w:ilvl="8" w:tplc="B6102AF0">
      <w:numFmt w:val="bullet"/>
      <w:lvlText w:val="•"/>
      <w:lvlJc w:val="left"/>
      <w:pPr>
        <w:ind w:left="7872" w:hanging="706"/>
      </w:pPr>
      <w:rPr>
        <w:rFonts w:hint="default"/>
        <w:lang w:val="en-US" w:eastAsia="en-US" w:bidi="ar-SA"/>
      </w:rPr>
    </w:lvl>
  </w:abstractNum>
  <w:abstractNum w:abstractNumId="1">
    <w:nsid w:val="2FF33284"/>
    <w:multiLevelType w:val="hybridMultilevel"/>
    <w:tmpl w:val="8F30A81A"/>
    <w:lvl w:ilvl="0" w:tplc="346C74BA">
      <w:start w:val="1"/>
      <w:numFmt w:val="decimal"/>
      <w:lvlText w:val="%1."/>
      <w:lvlJc w:val="left"/>
      <w:pPr>
        <w:ind w:left="486" w:hanging="360"/>
      </w:pPr>
      <w:rPr>
        <w:rFonts w:hint="default"/>
        <w:w w:val="105"/>
      </w:rPr>
    </w:lvl>
    <w:lvl w:ilvl="1" w:tplc="04220019" w:tentative="1">
      <w:start w:val="1"/>
      <w:numFmt w:val="lowerLetter"/>
      <w:lvlText w:val="%2."/>
      <w:lvlJc w:val="left"/>
      <w:pPr>
        <w:ind w:left="1206" w:hanging="360"/>
      </w:pPr>
    </w:lvl>
    <w:lvl w:ilvl="2" w:tplc="0422001B" w:tentative="1">
      <w:start w:val="1"/>
      <w:numFmt w:val="lowerRoman"/>
      <w:lvlText w:val="%3."/>
      <w:lvlJc w:val="right"/>
      <w:pPr>
        <w:ind w:left="1926" w:hanging="180"/>
      </w:pPr>
    </w:lvl>
    <w:lvl w:ilvl="3" w:tplc="0422000F" w:tentative="1">
      <w:start w:val="1"/>
      <w:numFmt w:val="decimal"/>
      <w:lvlText w:val="%4."/>
      <w:lvlJc w:val="left"/>
      <w:pPr>
        <w:ind w:left="2646" w:hanging="360"/>
      </w:pPr>
    </w:lvl>
    <w:lvl w:ilvl="4" w:tplc="04220019" w:tentative="1">
      <w:start w:val="1"/>
      <w:numFmt w:val="lowerLetter"/>
      <w:lvlText w:val="%5."/>
      <w:lvlJc w:val="left"/>
      <w:pPr>
        <w:ind w:left="3366" w:hanging="360"/>
      </w:pPr>
    </w:lvl>
    <w:lvl w:ilvl="5" w:tplc="0422001B" w:tentative="1">
      <w:start w:val="1"/>
      <w:numFmt w:val="lowerRoman"/>
      <w:lvlText w:val="%6."/>
      <w:lvlJc w:val="right"/>
      <w:pPr>
        <w:ind w:left="4086" w:hanging="180"/>
      </w:pPr>
    </w:lvl>
    <w:lvl w:ilvl="6" w:tplc="0422000F" w:tentative="1">
      <w:start w:val="1"/>
      <w:numFmt w:val="decimal"/>
      <w:lvlText w:val="%7."/>
      <w:lvlJc w:val="left"/>
      <w:pPr>
        <w:ind w:left="4806" w:hanging="360"/>
      </w:pPr>
    </w:lvl>
    <w:lvl w:ilvl="7" w:tplc="04220019" w:tentative="1">
      <w:start w:val="1"/>
      <w:numFmt w:val="lowerLetter"/>
      <w:lvlText w:val="%8."/>
      <w:lvlJc w:val="left"/>
      <w:pPr>
        <w:ind w:left="5526" w:hanging="360"/>
      </w:pPr>
    </w:lvl>
    <w:lvl w:ilvl="8" w:tplc="0422001B" w:tentative="1">
      <w:start w:val="1"/>
      <w:numFmt w:val="lowerRoman"/>
      <w:lvlText w:val="%9."/>
      <w:lvlJc w:val="right"/>
      <w:pPr>
        <w:ind w:left="62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5B"/>
    <w:rsid w:val="00094A86"/>
    <w:rsid w:val="001F26AB"/>
    <w:rsid w:val="00296FB4"/>
    <w:rsid w:val="00313F2D"/>
    <w:rsid w:val="004F4B92"/>
    <w:rsid w:val="006760F8"/>
    <w:rsid w:val="00712AFB"/>
    <w:rsid w:val="008C3A9D"/>
    <w:rsid w:val="00984946"/>
    <w:rsid w:val="00A43BC4"/>
    <w:rsid w:val="00A97C8E"/>
    <w:rsid w:val="00B65919"/>
    <w:rsid w:val="00BF365B"/>
    <w:rsid w:val="00D0019E"/>
    <w:rsid w:val="00D23B3C"/>
    <w:rsid w:val="00DA7ACB"/>
    <w:rsid w:val="00E04004"/>
    <w:rsid w:val="00EC5ED7"/>
    <w:rsid w:val="00E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10"/>
      <w:ind w:left="126" w:right="3143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6" w:right="144"/>
    </w:pPr>
  </w:style>
  <w:style w:type="paragraph" w:customStyle="1" w:styleId="TableParagraph">
    <w:name w:val="Table Paragraph"/>
    <w:basedOn w:val="a"/>
    <w:uiPriority w:val="1"/>
    <w:qFormat/>
    <w:pPr>
      <w:spacing w:before="46"/>
      <w:ind w:left="-1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6760F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60F8"/>
    <w:rPr>
      <w:rFonts w:ascii="Arial MT" w:eastAsia="Arial MT" w:hAnsi="Arial MT" w:cs="Arial MT"/>
    </w:rPr>
  </w:style>
  <w:style w:type="paragraph" w:styleId="a8">
    <w:name w:val="footer"/>
    <w:basedOn w:val="a"/>
    <w:link w:val="a9"/>
    <w:uiPriority w:val="99"/>
    <w:unhideWhenUsed/>
    <w:rsid w:val="006760F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0F8"/>
    <w:rPr>
      <w:rFonts w:ascii="Arial MT" w:eastAsia="Arial MT" w:hAnsi="Arial MT" w:cs="Arial MT"/>
    </w:rPr>
  </w:style>
  <w:style w:type="paragraph" w:styleId="aa">
    <w:name w:val="Balloon Text"/>
    <w:basedOn w:val="a"/>
    <w:link w:val="ab"/>
    <w:uiPriority w:val="99"/>
    <w:semiHidden/>
    <w:unhideWhenUsed/>
    <w:rsid w:val="009849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946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before="110"/>
      <w:ind w:left="126" w:right="3143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6" w:right="144"/>
    </w:pPr>
  </w:style>
  <w:style w:type="paragraph" w:customStyle="1" w:styleId="TableParagraph">
    <w:name w:val="Table Paragraph"/>
    <w:basedOn w:val="a"/>
    <w:uiPriority w:val="1"/>
    <w:qFormat/>
    <w:pPr>
      <w:spacing w:before="46"/>
      <w:ind w:left="-1"/>
    </w:pPr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6760F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60F8"/>
    <w:rPr>
      <w:rFonts w:ascii="Arial MT" w:eastAsia="Arial MT" w:hAnsi="Arial MT" w:cs="Arial MT"/>
    </w:rPr>
  </w:style>
  <w:style w:type="paragraph" w:styleId="a8">
    <w:name w:val="footer"/>
    <w:basedOn w:val="a"/>
    <w:link w:val="a9"/>
    <w:uiPriority w:val="99"/>
    <w:unhideWhenUsed/>
    <w:rsid w:val="006760F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60F8"/>
    <w:rPr>
      <w:rFonts w:ascii="Arial MT" w:eastAsia="Arial MT" w:hAnsi="Arial MT" w:cs="Arial MT"/>
    </w:rPr>
  </w:style>
  <w:style w:type="paragraph" w:styleId="aa">
    <w:name w:val="Balloon Text"/>
    <w:basedOn w:val="a"/>
    <w:link w:val="ab"/>
    <w:uiPriority w:val="99"/>
    <w:semiHidden/>
    <w:unhideWhenUsed/>
    <w:rsid w:val="009849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946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Купач Дарина Андріївна</cp:lastModifiedBy>
  <cp:revision>8</cp:revision>
  <dcterms:created xsi:type="dcterms:W3CDTF">2024-01-25T12:19:00Z</dcterms:created>
  <dcterms:modified xsi:type="dcterms:W3CDTF">2024-02-21T08:14:00Z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2024-01-25T00:00:00Z</vt:filetime>
  </property>
</Properties>
</file>