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D2" w:rsidRPr="007E6535" w:rsidRDefault="00281963" w:rsidP="00B97474">
      <w:pPr>
        <w:jc w:val="both"/>
        <w:rPr>
          <w:rFonts w:ascii="Times New Roman" w:hAnsi="Times New Roman" w:cs="Times New Roman"/>
          <w:sz w:val="24"/>
          <w:szCs w:val="24"/>
        </w:rPr>
      </w:pPr>
      <w:r w:rsidRPr="00A21178">
        <w:rPr>
          <w:noProof/>
          <w:spacing w:val="7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53B07" wp14:editId="78764AE4">
                <wp:simplePos x="0" y="0"/>
                <wp:positionH relativeFrom="column">
                  <wp:posOffset>4546600</wp:posOffset>
                </wp:positionH>
                <wp:positionV relativeFrom="paragraph">
                  <wp:posOffset>-536575</wp:posOffset>
                </wp:positionV>
                <wp:extent cx="2374265" cy="1403985"/>
                <wp:effectExtent l="0" t="0" r="889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963" w:rsidRPr="00281963" w:rsidRDefault="00281963" w:rsidP="00281963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 w:rsidRPr="00281963"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  <w:t>Неоф</w:t>
                            </w:r>
                            <w:r w:rsidRPr="00281963">
                              <w:rPr>
                                <w:rFonts w:ascii="Times New Roman" w:hAnsi="Times New Roman" w:cs="Times New Roman"/>
                                <w:i/>
                              </w:rPr>
                              <w:t>іційний</w:t>
                            </w:r>
                            <w:proofErr w:type="spellEnd"/>
                            <w:r w:rsidRPr="0028196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переклад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8pt;margin-top:-42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" stroked="f">
                <v:textbox style="mso-fit-shape-to-text:t">
                  <w:txbxContent>
                    <w:p w:rsidR="00281963" w:rsidRPr="00281963" w:rsidRDefault="00281963" w:rsidP="0028196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 w:rsidRPr="00281963"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  <w:t>Неоф</w:t>
                      </w:r>
                      <w:r w:rsidRPr="00281963">
                        <w:rPr>
                          <w:rFonts w:ascii="Times New Roman" w:hAnsi="Times New Roman" w:cs="Times New Roman"/>
                          <w:i/>
                        </w:rPr>
                        <w:t>іційний</w:t>
                      </w:r>
                      <w:proofErr w:type="spellEnd"/>
                      <w:r w:rsidRPr="00281963">
                        <w:rPr>
                          <w:rFonts w:ascii="Times New Roman" w:hAnsi="Times New Roman" w:cs="Times New Roman"/>
                          <w:i/>
                        </w:rPr>
                        <w:t xml:space="preserve"> переклад</w:t>
                      </w:r>
                    </w:p>
                  </w:txbxContent>
                </v:textbox>
              </v:shape>
            </w:pict>
          </mc:Fallback>
        </mc:AlternateContent>
      </w:r>
      <w:r w:rsidR="006170D2" w:rsidRPr="007E6535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F621F07" wp14:editId="724D5510">
            <wp:extent cx="6120765" cy="890467"/>
            <wp:effectExtent l="0" t="0" r="0" b="5080"/>
            <wp:docPr id="7294" name="Picture 7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4" name="Picture 72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9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0D2" w:rsidRDefault="006170D2" w:rsidP="00B97474">
      <w:pPr>
        <w:jc w:val="both"/>
        <w:rPr>
          <w:rFonts w:ascii="Times New Roman" w:hAnsi="Times New Roman" w:cs="Times New Roman"/>
          <w:sz w:val="24"/>
          <w:szCs w:val="24"/>
        </w:rPr>
      </w:pPr>
      <w:r w:rsidRPr="007E6535">
        <w:rPr>
          <w:rFonts w:ascii="Times New Roman" w:hAnsi="Times New Roman" w:cs="Times New Roman"/>
          <w:sz w:val="24"/>
          <w:szCs w:val="24"/>
        </w:rPr>
        <w:t>Резолюція 2273 (2019)</w:t>
      </w:r>
      <w:r w:rsidRPr="007E6535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281963" w:rsidRPr="00281963">
        <w:rPr>
          <w:noProof/>
          <w:spacing w:val="77"/>
        </w:rPr>
        <w:t xml:space="preserve"> </w:t>
      </w:r>
    </w:p>
    <w:p w:rsidR="007D1B3F" w:rsidRPr="007E6535" w:rsidRDefault="007D1B3F" w:rsidP="00B9747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6170D2" w:rsidRDefault="006170D2" w:rsidP="00B97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B3F">
        <w:rPr>
          <w:rFonts w:ascii="Times New Roman" w:hAnsi="Times New Roman" w:cs="Times New Roman"/>
          <w:b/>
          <w:sz w:val="28"/>
          <w:szCs w:val="28"/>
        </w:rPr>
        <w:t>Створення механізму Європейського Союзу з питань демократії, верховенства права та основоположних прав</w:t>
      </w:r>
    </w:p>
    <w:bookmarkEnd w:id="0"/>
    <w:p w:rsidR="007D1B3F" w:rsidRPr="007D1B3F" w:rsidRDefault="007D1B3F" w:rsidP="00B974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0D2" w:rsidRPr="007E6535" w:rsidRDefault="006170D2" w:rsidP="00B97474">
      <w:pPr>
        <w:jc w:val="both"/>
        <w:rPr>
          <w:rFonts w:ascii="Times New Roman" w:hAnsi="Times New Roman" w:cs="Times New Roman"/>
          <w:sz w:val="24"/>
          <w:szCs w:val="24"/>
        </w:rPr>
      </w:pPr>
      <w:r w:rsidRPr="007E6535">
        <w:rPr>
          <w:rFonts w:ascii="Times New Roman" w:hAnsi="Times New Roman" w:cs="Times New Roman"/>
          <w:sz w:val="24"/>
          <w:szCs w:val="24"/>
        </w:rPr>
        <w:t>Парламентська асамблея</w:t>
      </w:r>
    </w:p>
    <w:p w:rsidR="006170D2" w:rsidRDefault="006170D2" w:rsidP="00B97474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535">
        <w:rPr>
          <w:rFonts w:ascii="Times New Roman" w:hAnsi="Times New Roman" w:cs="Times New Roman"/>
          <w:sz w:val="24"/>
          <w:szCs w:val="24"/>
        </w:rPr>
        <w:t>У жовтні 2</w:t>
      </w:r>
      <w:r w:rsidR="003D55F2">
        <w:rPr>
          <w:rFonts w:ascii="Times New Roman" w:hAnsi="Times New Roman" w:cs="Times New Roman"/>
          <w:sz w:val="24"/>
          <w:szCs w:val="24"/>
        </w:rPr>
        <w:t>016 року Європейський парламент</w:t>
      </w:r>
      <w:r w:rsidR="00030627">
        <w:rPr>
          <w:rFonts w:ascii="Times New Roman" w:hAnsi="Times New Roman" w:cs="Times New Roman"/>
          <w:sz w:val="24"/>
          <w:szCs w:val="24"/>
        </w:rPr>
        <w:t xml:space="preserve"> </w:t>
      </w:r>
      <w:r w:rsidRPr="007E6535">
        <w:rPr>
          <w:rFonts w:ascii="Times New Roman" w:hAnsi="Times New Roman" w:cs="Times New Roman"/>
          <w:sz w:val="24"/>
          <w:szCs w:val="24"/>
        </w:rPr>
        <w:t xml:space="preserve">ухвалив резолюцію, в якій </w:t>
      </w:r>
      <w:r w:rsidR="007E6535" w:rsidRPr="007E6535">
        <w:rPr>
          <w:rFonts w:ascii="Times New Roman" w:hAnsi="Times New Roman" w:cs="Times New Roman"/>
          <w:sz w:val="24"/>
          <w:szCs w:val="24"/>
        </w:rPr>
        <w:t xml:space="preserve">висунуто </w:t>
      </w:r>
      <w:r w:rsidR="003D55F2">
        <w:rPr>
          <w:rFonts w:ascii="Times New Roman" w:hAnsi="Times New Roman" w:cs="Times New Roman"/>
          <w:sz w:val="24"/>
          <w:szCs w:val="24"/>
        </w:rPr>
        <w:t>Європейському Союзу</w:t>
      </w:r>
      <w:r w:rsidR="00B11702" w:rsidRPr="007E6535">
        <w:rPr>
          <w:rFonts w:ascii="Times New Roman" w:hAnsi="Times New Roman" w:cs="Times New Roman"/>
          <w:sz w:val="24"/>
          <w:szCs w:val="24"/>
        </w:rPr>
        <w:t xml:space="preserve"> пропозицію</w:t>
      </w:r>
      <w:r w:rsidRPr="007E6535">
        <w:rPr>
          <w:rFonts w:ascii="Times New Roman" w:hAnsi="Times New Roman" w:cs="Times New Roman"/>
          <w:sz w:val="24"/>
          <w:szCs w:val="24"/>
        </w:rPr>
        <w:t xml:space="preserve"> </w:t>
      </w:r>
      <w:r w:rsidR="00B11702" w:rsidRPr="007E6535">
        <w:rPr>
          <w:rFonts w:ascii="Times New Roman" w:hAnsi="Times New Roman" w:cs="Times New Roman"/>
          <w:sz w:val="24"/>
          <w:szCs w:val="24"/>
        </w:rPr>
        <w:t>створити всеосяжний, обов’</w:t>
      </w:r>
      <w:r w:rsidRPr="007E6535">
        <w:rPr>
          <w:rFonts w:ascii="Times New Roman" w:hAnsi="Times New Roman" w:cs="Times New Roman"/>
          <w:sz w:val="24"/>
          <w:szCs w:val="24"/>
        </w:rPr>
        <w:t>язковий і постійний мех</w:t>
      </w:r>
      <w:r w:rsidR="007E6535">
        <w:rPr>
          <w:rFonts w:ascii="Times New Roman" w:hAnsi="Times New Roman" w:cs="Times New Roman"/>
          <w:sz w:val="24"/>
          <w:szCs w:val="24"/>
        </w:rPr>
        <w:t xml:space="preserve">анізм для моніторингу ситуації щодо демократії, верховенства права та прав </w:t>
      </w:r>
      <w:r w:rsidRPr="007E6535">
        <w:rPr>
          <w:rFonts w:ascii="Times New Roman" w:hAnsi="Times New Roman" w:cs="Times New Roman"/>
          <w:sz w:val="24"/>
          <w:szCs w:val="24"/>
        </w:rPr>
        <w:t>людини у 28 державах-членах, а також для заб</w:t>
      </w:r>
      <w:r w:rsidR="00712E28">
        <w:rPr>
          <w:rFonts w:ascii="Times New Roman" w:hAnsi="Times New Roman" w:cs="Times New Roman"/>
          <w:sz w:val="24"/>
          <w:szCs w:val="24"/>
        </w:rPr>
        <w:t>езпечення дотримання основ</w:t>
      </w:r>
      <w:r w:rsidRPr="007E6535">
        <w:rPr>
          <w:rFonts w:ascii="Times New Roman" w:hAnsi="Times New Roman" w:cs="Times New Roman"/>
          <w:sz w:val="24"/>
          <w:szCs w:val="24"/>
        </w:rPr>
        <w:t xml:space="preserve">них цінностей </w:t>
      </w:r>
      <w:r w:rsidR="007E6535">
        <w:rPr>
          <w:rFonts w:ascii="Times New Roman" w:hAnsi="Times New Roman" w:cs="Times New Roman"/>
          <w:sz w:val="24"/>
          <w:szCs w:val="24"/>
        </w:rPr>
        <w:t>ЄС</w:t>
      </w:r>
      <w:r w:rsidRPr="007E6535">
        <w:rPr>
          <w:rFonts w:ascii="Times New Roman" w:hAnsi="Times New Roman" w:cs="Times New Roman"/>
          <w:sz w:val="24"/>
          <w:szCs w:val="24"/>
        </w:rPr>
        <w:t xml:space="preserve">, закріплених у статті 2 Договору про Європейський Союз, та імплементації договорів </w:t>
      </w:r>
      <w:r w:rsidR="007E6535">
        <w:rPr>
          <w:rFonts w:ascii="Times New Roman" w:hAnsi="Times New Roman" w:cs="Times New Roman"/>
          <w:sz w:val="24"/>
          <w:szCs w:val="24"/>
        </w:rPr>
        <w:t>Є</w:t>
      </w:r>
      <w:r w:rsidR="003D55F2">
        <w:rPr>
          <w:rFonts w:ascii="Times New Roman" w:hAnsi="Times New Roman" w:cs="Times New Roman"/>
          <w:sz w:val="24"/>
          <w:szCs w:val="24"/>
        </w:rPr>
        <w:t xml:space="preserve">вропейського </w:t>
      </w:r>
      <w:r w:rsidR="007E6535">
        <w:rPr>
          <w:rFonts w:ascii="Times New Roman" w:hAnsi="Times New Roman" w:cs="Times New Roman"/>
          <w:sz w:val="24"/>
          <w:szCs w:val="24"/>
        </w:rPr>
        <w:t>С</w:t>
      </w:r>
      <w:r w:rsidR="003D55F2">
        <w:rPr>
          <w:rFonts w:ascii="Times New Roman" w:hAnsi="Times New Roman" w:cs="Times New Roman"/>
          <w:sz w:val="24"/>
          <w:szCs w:val="24"/>
        </w:rPr>
        <w:t>оюзу</w:t>
      </w:r>
      <w:r w:rsidR="007E6535">
        <w:rPr>
          <w:rFonts w:ascii="Times New Roman" w:hAnsi="Times New Roman" w:cs="Times New Roman"/>
          <w:sz w:val="24"/>
          <w:szCs w:val="24"/>
        </w:rPr>
        <w:t xml:space="preserve"> </w:t>
      </w:r>
      <w:r w:rsidRPr="007E6535">
        <w:rPr>
          <w:rFonts w:ascii="Times New Roman" w:hAnsi="Times New Roman" w:cs="Times New Roman"/>
          <w:sz w:val="24"/>
          <w:szCs w:val="24"/>
        </w:rPr>
        <w:t xml:space="preserve">у державах-членах. У відповідь на бездіяльність </w:t>
      </w:r>
      <w:r w:rsidR="003D55F2">
        <w:rPr>
          <w:rFonts w:ascii="Times New Roman" w:hAnsi="Times New Roman" w:cs="Times New Roman"/>
          <w:sz w:val="24"/>
          <w:szCs w:val="24"/>
        </w:rPr>
        <w:t>уповноважених</w:t>
      </w:r>
      <w:r w:rsidRPr="007E6535">
        <w:rPr>
          <w:rFonts w:ascii="Times New Roman" w:hAnsi="Times New Roman" w:cs="Times New Roman"/>
          <w:sz w:val="24"/>
          <w:szCs w:val="24"/>
        </w:rPr>
        <w:t xml:space="preserve"> інституцій </w:t>
      </w:r>
      <w:r w:rsidR="00030627">
        <w:rPr>
          <w:rFonts w:ascii="Times New Roman" w:hAnsi="Times New Roman" w:cs="Times New Roman"/>
          <w:sz w:val="24"/>
          <w:szCs w:val="24"/>
        </w:rPr>
        <w:t>Є</w:t>
      </w:r>
      <w:r w:rsidR="003D55F2">
        <w:rPr>
          <w:rFonts w:ascii="Times New Roman" w:hAnsi="Times New Roman" w:cs="Times New Roman"/>
          <w:sz w:val="24"/>
          <w:szCs w:val="24"/>
        </w:rPr>
        <w:t xml:space="preserve">вропейського </w:t>
      </w:r>
      <w:r w:rsidR="00030627">
        <w:rPr>
          <w:rFonts w:ascii="Times New Roman" w:hAnsi="Times New Roman" w:cs="Times New Roman"/>
          <w:sz w:val="24"/>
          <w:szCs w:val="24"/>
        </w:rPr>
        <w:t>С</w:t>
      </w:r>
      <w:r w:rsidR="003D55F2">
        <w:rPr>
          <w:rFonts w:ascii="Times New Roman" w:hAnsi="Times New Roman" w:cs="Times New Roman"/>
          <w:sz w:val="24"/>
          <w:szCs w:val="24"/>
        </w:rPr>
        <w:t>оюзу</w:t>
      </w:r>
      <w:r w:rsidR="00030627">
        <w:rPr>
          <w:rFonts w:ascii="Times New Roman" w:hAnsi="Times New Roman" w:cs="Times New Roman"/>
          <w:sz w:val="24"/>
          <w:szCs w:val="24"/>
        </w:rPr>
        <w:t>, Євро</w:t>
      </w:r>
      <w:r w:rsidR="003D55F2">
        <w:rPr>
          <w:rFonts w:ascii="Times New Roman" w:hAnsi="Times New Roman" w:cs="Times New Roman"/>
          <w:sz w:val="24"/>
          <w:szCs w:val="24"/>
        </w:rPr>
        <w:t xml:space="preserve">пейський </w:t>
      </w:r>
      <w:r w:rsidR="007E6535">
        <w:rPr>
          <w:rFonts w:ascii="Times New Roman" w:hAnsi="Times New Roman" w:cs="Times New Roman"/>
          <w:sz w:val="24"/>
          <w:szCs w:val="24"/>
        </w:rPr>
        <w:t>п</w:t>
      </w:r>
      <w:r w:rsidRPr="007E6535">
        <w:rPr>
          <w:rFonts w:ascii="Times New Roman" w:hAnsi="Times New Roman" w:cs="Times New Roman"/>
          <w:sz w:val="24"/>
          <w:szCs w:val="24"/>
        </w:rPr>
        <w:t>арламент</w:t>
      </w:r>
      <w:r w:rsidR="00161EB3">
        <w:rPr>
          <w:rFonts w:ascii="Times New Roman" w:hAnsi="Times New Roman" w:cs="Times New Roman"/>
          <w:sz w:val="24"/>
          <w:szCs w:val="24"/>
        </w:rPr>
        <w:t>,</w:t>
      </w:r>
      <w:r w:rsidRPr="007E6535">
        <w:rPr>
          <w:rFonts w:ascii="Times New Roman" w:hAnsi="Times New Roman" w:cs="Times New Roman"/>
          <w:sz w:val="24"/>
          <w:szCs w:val="24"/>
        </w:rPr>
        <w:t xml:space="preserve"> у резолюції від 14 листопада 2018 року</w:t>
      </w:r>
      <w:r w:rsidR="00161EB3">
        <w:rPr>
          <w:rFonts w:ascii="Times New Roman" w:hAnsi="Times New Roman" w:cs="Times New Roman"/>
          <w:sz w:val="24"/>
          <w:szCs w:val="24"/>
        </w:rPr>
        <w:t>,</w:t>
      </w:r>
      <w:r w:rsidRPr="007E6535">
        <w:rPr>
          <w:rFonts w:ascii="Times New Roman" w:hAnsi="Times New Roman" w:cs="Times New Roman"/>
          <w:sz w:val="24"/>
          <w:szCs w:val="24"/>
        </w:rPr>
        <w:t xml:space="preserve"> </w:t>
      </w:r>
      <w:r w:rsidR="00161EB3">
        <w:rPr>
          <w:rFonts w:ascii="Times New Roman" w:hAnsi="Times New Roman" w:cs="Times New Roman"/>
          <w:sz w:val="24"/>
          <w:szCs w:val="24"/>
        </w:rPr>
        <w:t>повторно закликав створити такий механізм без</w:t>
      </w:r>
      <w:r w:rsidR="003D55F2">
        <w:rPr>
          <w:rFonts w:ascii="Times New Roman" w:hAnsi="Times New Roman" w:cs="Times New Roman"/>
          <w:sz w:val="24"/>
          <w:szCs w:val="24"/>
        </w:rPr>
        <w:t xml:space="preserve"> жодних зволікань</w:t>
      </w:r>
      <w:r w:rsidRPr="007E6535">
        <w:rPr>
          <w:rFonts w:ascii="Times New Roman" w:hAnsi="Times New Roman" w:cs="Times New Roman"/>
          <w:sz w:val="24"/>
          <w:szCs w:val="24"/>
        </w:rPr>
        <w:t>.</w:t>
      </w:r>
    </w:p>
    <w:p w:rsidR="00FE4FD3" w:rsidRDefault="00FE4FD3" w:rsidP="00FE4FD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1EB3" w:rsidRDefault="00161EB3" w:rsidP="00B97474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Парламентська а</w:t>
      </w:r>
      <w:r w:rsidRPr="00161EB3">
        <w:rPr>
          <w:rFonts w:ascii="Times New Roman" w:hAnsi="Times New Roman" w:cs="Times New Roman"/>
          <w:sz w:val="24"/>
          <w:szCs w:val="24"/>
        </w:rPr>
        <w:t>самблея визнає, що така ініціатива є зако</w:t>
      </w:r>
      <w:r>
        <w:rPr>
          <w:rFonts w:ascii="Times New Roman" w:hAnsi="Times New Roman" w:cs="Times New Roman"/>
          <w:sz w:val="24"/>
          <w:szCs w:val="24"/>
        </w:rPr>
        <w:t>нною і послідовною з точки зору Є</w:t>
      </w:r>
      <w:r w:rsidR="003D55F2">
        <w:rPr>
          <w:rFonts w:ascii="Times New Roman" w:hAnsi="Times New Roman" w:cs="Times New Roman"/>
          <w:sz w:val="24"/>
          <w:szCs w:val="24"/>
        </w:rPr>
        <w:t xml:space="preserve">вропейського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D55F2">
        <w:rPr>
          <w:rFonts w:ascii="Times New Roman" w:hAnsi="Times New Roman" w:cs="Times New Roman"/>
          <w:sz w:val="24"/>
          <w:szCs w:val="24"/>
        </w:rPr>
        <w:t>оюзу</w:t>
      </w:r>
      <w:r>
        <w:rPr>
          <w:rFonts w:ascii="Times New Roman" w:hAnsi="Times New Roman" w:cs="Times New Roman"/>
          <w:sz w:val="24"/>
          <w:szCs w:val="24"/>
        </w:rPr>
        <w:t>. Са</w:t>
      </w:r>
      <w:r w:rsidR="00030627">
        <w:rPr>
          <w:rFonts w:ascii="Times New Roman" w:hAnsi="Times New Roman" w:cs="Times New Roman"/>
          <w:sz w:val="24"/>
          <w:szCs w:val="24"/>
        </w:rPr>
        <w:t>м Євро</w:t>
      </w:r>
      <w:r w:rsidR="003D55F2">
        <w:rPr>
          <w:rFonts w:ascii="Times New Roman" w:hAnsi="Times New Roman" w:cs="Times New Roman"/>
          <w:sz w:val="24"/>
          <w:szCs w:val="24"/>
        </w:rPr>
        <w:t xml:space="preserve">пейський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61EB3">
        <w:rPr>
          <w:rFonts w:ascii="Times New Roman" w:hAnsi="Times New Roman" w:cs="Times New Roman"/>
          <w:sz w:val="24"/>
          <w:szCs w:val="24"/>
        </w:rPr>
        <w:t xml:space="preserve">арламент </w:t>
      </w:r>
      <w:r w:rsidR="003D55F2">
        <w:rPr>
          <w:rFonts w:ascii="Times New Roman" w:hAnsi="Times New Roman" w:cs="Times New Roman"/>
          <w:sz w:val="24"/>
          <w:szCs w:val="24"/>
        </w:rPr>
        <w:t xml:space="preserve">при цьому </w:t>
      </w:r>
      <w:r w:rsidRPr="00161EB3">
        <w:rPr>
          <w:rFonts w:ascii="Times New Roman" w:hAnsi="Times New Roman" w:cs="Times New Roman"/>
          <w:sz w:val="24"/>
          <w:szCs w:val="24"/>
        </w:rPr>
        <w:t>зазначає, що існуючі інструмент</w:t>
      </w:r>
      <w:r>
        <w:rPr>
          <w:rFonts w:ascii="Times New Roman" w:hAnsi="Times New Roman" w:cs="Times New Roman"/>
          <w:sz w:val="24"/>
          <w:szCs w:val="24"/>
        </w:rPr>
        <w:t>и, впро</w:t>
      </w:r>
      <w:r w:rsidR="003D55F2">
        <w:rPr>
          <w:rFonts w:ascii="Times New Roman" w:hAnsi="Times New Roman" w:cs="Times New Roman"/>
          <w:sz w:val="24"/>
          <w:szCs w:val="24"/>
        </w:rPr>
        <w:t>ваджені як Європейською комісією</w:t>
      </w:r>
      <w:r>
        <w:rPr>
          <w:rFonts w:ascii="Times New Roman" w:hAnsi="Times New Roman" w:cs="Times New Roman"/>
          <w:sz w:val="24"/>
          <w:szCs w:val="24"/>
        </w:rPr>
        <w:t>, так і Європейською р</w:t>
      </w:r>
      <w:r w:rsidRPr="00161EB3">
        <w:rPr>
          <w:rFonts w:ascii="Times New Roman" w:hAnsi="Times New Roman" w:cs="Times New Roman"/>
          <w:sz w:val="24"/>
          <w:szCs w:val="24"/>
        </w:rPr>
        <w:t>адою, мають обмежену сферу застосування.</w:t>
      </w:r>
    </w:p>
    <w:p w:rsidR="00FE4FD3" w:rsidRDefault="00FE4FD3" w:rsidP="00FE4FD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1EB3" w:rsidRPr="00A64F38" w:rsidRDefault="00030627" w:rsidP="00B97474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627">
        <w:rPr>
          <w:rFonts w:ascii="Times New Roman" w:hAnsi="Times New Roman" w:cs="Times New Roman"/>
          <w:sz w:val="24"/>
          <w:szCs w:val="24"/>
        </w:rPr>
        <w:t>Асамблея вважа</w:t>
      </w:r>
      <w:r>
        <w:rPr>
          <w:rFonts w:ascii="Times New Roman" w:hAnsi="Times New Roman" w:cs="Times New Roman"/>
          <w:sz w:val="24"/>
          <w:szCs w:val="24"/>
        </w:rPr>
        <w:t>є, що ініціатива Євро</w:t>
      </w:r>
      <w:r w:rsidR="003D55F2">
        <w:rPr>
          <w:rFonts w:ascii="Times New Roman" w:hAnsi="Times New Roman" w:cs="Times New Roman"/>
          <w:sz w:val="24"/>
          <w:szCs w:val="24"/>
        </w:rPr>
        <w:t xml:space="preserve">пейського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30627">
        <w:rPr>
          <w:rFonts w:ascii="Times New Roman" w:hAnsi="Times New Roman" w:cs="Times New Roman"/>
          <w:sz w:val="24"/>
          <w:szCs w:val="24"/>
        </w:rPr>
        <w:t xml:space="preserve">арламенту, яка все ще обговорюється, потребує серйозного осмислення, оскільки запропонований механізм містить </w:t>
      </w:r>
      <w:r>
        <w:rPr>
          <w:rFonts w:ascii="Times New Roman" w:hAnsi="Times New Roman" w:cs="Times New Roman"/>
          <w:sz w:val="24"/>
          <w:szCs w:val="24"/>
        </w:rPr>
        <w:t>безпосереднє</w:t>
      </w:r>
      <w:r w:rsidRPr="00030627">
        <w:rPr>
          <w:rFonts w:ascii="Times New Roman" w:hAnsi="Times New Roman" w:cs="Times New Roman"/>
          <w:sz w:val="24"/>
          <w:szCs w:val="24"/>
        </w:rPr>
        <w:t xml:space="preserve"> пос</w:t>
      </w:r>
      <w:r w:rsidR="003D55F2">
        <w:rPr>
          <w:rFonts w:ascii="Times New Roman" w:hAnsi="Times New Roman" w:cs="Times New Roman"/>
          <w:sz w:val="24"/>
          <w:szCs w:val="24"/>
        </w:rPr>
        <w:t>илання на структуру Ради Європи</w:t>
      </w:r>
      <w:r w:rsidR="003D2882">
        <w:rPr>
          <w:rFonts w:ascii="Times New Roman" w:hAnsi="Times New Roman" w:cs="Times New Roman"/>
          <w:sz w:val="24"/>
          <w:szCs w:val="24"/>
        </w:rPr>
        <w:t xml:space="preserve"> </w:t>
      </w:r>
      <w:r w:rsidRPr="00030627">
        <w:rPr>
          <w:rFonts w:ascii="Times New Roman" w:hAnsi="Times New Roman" w:cs="Times New Roman"/>
          <w:sz w:val="24"/>
          <w:szCs w:val="24"/>
        </w:rPr>
        <w:t>і спрямований на створення синергії між двома організаціями. Запропонований механізм, з огляду на його суть і сферу застосування</w:t>
      </w:r>
      <w:r w:rsidR="003D2882">
        <w:rPr>
          <w:rFonts w:ascii="Times New Roman" w:hAnsi="Times New Roman" w:cs="Times New Roman"/>
          <w:sz w:val="24"/>
          <w:szCs w:val="24"/>
        </w:rPr>
        <w:t>, матиме очевидний вплив на Р</w:t>
      </w:r>
      <w:r w:rsidR="003D55F2">
        <w:rPr>
          <w:rFonts w:ascii="Times New Roman" w:hAnsi="Times New Roman" w:cs="Times New Roman"/>
          <w:sz w:val="24"/>
          <w:szCs w:val="24"/>
        </w:rPr>
        <w:t xml:space="preserve">аду </w:t>
      </w:r>
      <w:r w:rsidR="003D2882">
        <w:rPr>
          <w:rFonts w:ascii="Times New Roman" w:hAnsi="Times New Roman" w:cs="Times New Roman"/>
          <w:sz w:val="24"/>
          <w:szCs w:val="24"/>
        </w:rPr>
        <w:t>Є</w:t>
      </w:r>
      <w:r w:rsidR="003D55F2">
        <w:rPr>
          <w:rFonts w:ascii="Times New Roman" w:hAnsi="Times New Roman" w:cs="Times New Roman"/>
          <w:sz w:val="24"/>
          <w:szCs w:val="24"/>
        </w:rPr>
        <w:t>вропи</w:t>
      </w:r>
      <w:r w:rsidRPr="00030627">
        <w:rPr>
          <w:rFonts w:ascii="Times New Roman" w:hAnsi="Times New Roman" w:cs="Times New Roman"/>
          <w:sz w:val="24"/>
          <w:szCs w:val="24"/>
        </w:rPr>
        <w:t>, її нормативно-</w:t>
      </w:r>
      <w:proofErr w:type="spellStart"/>
      <w:r w:rsidR="003D2882">
        <w:rPr>
          <w:rFonts w:ascii="Times New Roman" w:hAnsi="Times New Roman" w:cs="Times New Roman"/>
          <w:sz w:val="24"/>
          <w:szCs w:val="24"/>
        </w:rPr>
        <w:t>створюючу</w:t>
      </w:r>
      <w:proofErr w:type="spellEnd"/>
      <w:r w:rsidR="003D2882">
        <w:rPr>
          <w:rFonts w:ascii="Times New Roman" w:hAnsi="Times New Roman" w:cs="Times New Roman"/>
          <w:sz w:val="24"/>
          <w:szCs w:val="24"/>
        </w:rPr>
        <w:t xml:space="preserve"> правову концепцію</w:t>
      </w:r>
      <w:r w:rsidRPr="00030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882" w:rsidRPr="003D2882">
        <w:rPr>
          <w:rFonts w:ascii="Times New Roman" w:hAnsi="Times New Roman" w:cs="Times New Roman"/>
          <w:i/>
          <w:sz w:val="24"/>
          <w:szCs w:val="24"/>
        </w:rPr>
        <w:t>acquis</w:t>
      </w:r>
      <w:proofErr w:type="spellEnd"/>
      <w:r w:rsidR="003D2882" w:rsidRPr="00030627">
        <w:rPr>
          <w:rFonts w:ascii="Times New Roman" w:hAnsi="Times New Roman" w:cs="Times New Roman"/>
          <w:sz w:val="24"/>
          <w:szCs w:val="24"/>
        </w:rPr>
        <w:t xml:space="preserve"> </w:t>
      </w:r>
      <w:r w:rsidRPr="00030627">
        <w:rPr>
          <w:rFonts w:ascii="Times New Roman" w:hAnsi="Times New Roman" w:cs="Times New Roman"/>
          <w:sz w:val="24"/>
          <w:szCs w:val="24"/>
        </w:rPr>
        <w:t xml:space="preserve">та механізми імплементації її конвенцій. Механізм посилається на </w:t>
      </w:r>
      <w:r w:rsidRPr="003D2882">
        <w:rPr>
          <w:rFonts w:ascii="Times New Roman" w:hAnsi="Times New Roman" w:cs="Times New Roman"/>
          <w:i/>
          <w:sz w:val="24"/>
          <w:szCs w:val="24"/>
        </w:rPr>
        <w:t>acquis</w:t>
      </w:r>
      <w:r w:rsidRPr="00030627">
        <w:rPr>
          <w:rFonts w:ascii="Times New Roman" w:hAnsi="Times New Roman" w:cs="Times New Roman"/>
          <w:sz w:val="24"/>
          <w:szCs w:val="24"/>
        </w:rPr>
        <w:t xml:space="preserve"> </w:t>
      </w:r>
      <w:r w:rsidR="003D2882">
        <w:rPr>
          <w:rFonts w:ascii="Times New Roman" w:hAnsi="Times New Roman" w:cs="Times New Roman"/>
          <w:sz w:val="24"/>
          <w:szCs w:val="24"/>
        </w:rPr>
        <w:t>Р</w:t>
      </w:r>
      <w:r w:rsidR="003D55F2">
        <w:rPr>
          <w:rFonts w:ascii="Times New Roman" w:hAnsi="Times New Roman" w:cs="Times New Roman"/>
          <w:sz w:val="24"/>
          <w:szCs w:val="24"/>
        </w:rPr>
        <w:t xml:space="preserve">ади </w:t>
      </w:r>
      <w:r w:rsidR="003D2882">
        <w:rPr>
          <w:rFonts w:ascii="Times New Roman" w:hAnsi="Times New Roman" w:cs="Times New Roman"/>
          <w:sz w:val="24"/>
          <w:szCs w:val="24"/>
        </w:rPr>
        <w:t>Є</w:t>
      </w:r>
      <w:r w:rsidR="003D55F2">
        <w:rPr>
          <w:rFonts w:ascii="Times New Roman" w:hAnsi="Times New Roman" w:cs="Times New Roman"/>
          <w:sz w:val="24"/>
          <w:szCs w:val="24"/>
        </w:rPr>
        <w:t>вропи</w:t>
      </w:r>
      <w:r w:rsidRPr="00030627">
        <w:rPr>
          <w:rFonts w:ascii="Times New Roman" w:hAnsi="Times New Roman" w:cs="Times New Roman"/>
          <w:sz w:val="24"/>
          <w:szCs w:val="24"/>
        </w:rPr>
        <w:t xml:space="preserve"> </w:t>
      </w:r>
      <w:r w:rsidR="003D2882">
        <w:rPr>
          <w:rFonts w:ascii="Times New Roman" w:hAnsi="Times New Roman" w:cs="Times New Roman"/>
          <w:sz w:val="24"/>
          <w:szCs w:val="24"/>
        </w:rPr>
        <w:t>і включає в свою «правову основу»</w:t>
      </w:r>
      <w:r w:rsidRPr="00030627">
        <w:rPr>
          <w:rFonts w:ascii="Times New Roman" w:hAnsi="Times New Roman" w:cs="Times New Roman"/>
          <w:sz w:val="24"/>
          <w:szCs w:val="24"/>
        </w:rPr>
        <w:t xml:space="preserve"> кілька конвенцій </w:t>
      </w:r>
      <w:r w:rsidR="003D2882">
        <w:rPr>
          <w:rFonts w:ascii="Times New Roman" w:hAnsi="Times New Roman" w:cs="Times New Roman"/>
          <w:sz w:val="24"/>
          <w:szCs w:val="24"/>
        </w:rPr>
        <w:t>Р</w:t>
      </w:r>
      <w:r w:rsidR="003D55F2">
        <w:rPr>
          <w:rFonts w:ascii="Times New Roman" w:hAnsi="Times New Roman" w:cs="Times New Roman"/>
          <w:sz w:val="24"/>
          <w:szCs w:val="24"/>
        </w:rPr>
        <w:t xml:space="preserve">ади </w:t>
      </w:r>
      <w:r w:rsidR="003D2882">
        <w:rPr>
          <w:rFonts w:ascii="Times New Roman" w:hAnsi="Times New Roman" w:cs="Times New Roman"/>
          <w:sz w:val="24"/>
          <w:szCs w:val="24"/>
        </w:rPr>
        <w:t>Є</w:t>
      </w:r>
      <w:r w:rsidR="003D55F2">
        <w:rPr>
          <w:rFonts w:ascii="Times New Roman" w:hAnsi="Times New Roman" w:cs="Times New Roman"/>
          <w:sz w:val="24"/>
          <w:szCs w:val="24"/>
        </w:rPr>
        <w:t>вропи</w:t>
      </w:r>
      <w:r w:rsidR="003D2882">
        <w:rPr>
          <w:rFonts w:ascii="Times New Roman" w:hAnsi="Times New Roman" w:cs="Times New Roman"/>
          <w:sz w:val="24"/>
          <w:szCs w:val="24"/>
        </w:rPr>
        <w:t xml:space="preserve"> - зокрема, Європейську Конвенцію про захист</w:t>
      </w:r>
      <w:r w:rsidRPr="00030627">
        <w:rPr>
          <w:rFonts w:ascii="Times New Roman" w:hAnsi="Times New Roman" w:cs="Times New Roman"/>
          <w:sz w:val="24"/>
          <w:szCs w:val="24"/>
        </w:rPr>
        <w:t xml:space="preserve"> прав людини </w:t>
      </w:r>
      <w:r w:rsidR="003D2882">
        <w:rPr>
          <w:rFonts w:ascii="Times New Roman" w:hAnsi="Times New Roman" w:cs="Times New Roman"/>
          <w:sz w:val="24"/>
          <w:szCs w:val="24"/>
        </w:rPr>
        <w:t xml:space="preserve">і основоположних свобод </w:t>
      </w:r>
      <w:r w:rsidRPr="00030627">
        <w:rPr>
          <w:rFonts w:ascii="Times New Roman" w:hAnsi="Times New Roman" w:cs="Times New Roman"/>
          <w:sz w:val="24"/>
          <w:szCs w:val="24"/>
        </w:rPr>
        <w:t>(ETS № 5) і Європейську соціальну харт</w:t>
      </w:r>
      <w:r w:rsidR="003D2882">
        <w:rPr>
          <w:rFonts w:ascii="Times New Roman" w:hAnsi="Times New Roman" w:cs="Times New Roman"/>
          <w:sz w:val="24"/>
          <w:szCs w:val="24"/>
        </w:rPr>
        <w:t>і</w:t>
      </w:r>
      <w:r w:rsidR="003D55F2">
        <w:rPr>
          <w:rFonts w:ascii="Times New Roman" w:hAnsi="Times New Roman" w:cs="Times New Roman"/>
          <w:sz w:val="24"/>
          <w:szCs w:val="24"/>
        </w:rPr>
        <w:t>ю (переглянуту) (ETS № 163). При</w:t>
      </w:r>
      <w:r w:rsidR="003D2882">
        <w:rPr>
          <w:rFonts w:ascii="Times New Roman" w:hAnsi="Times New Roman" w:cs="Times New Roman"/>
          <w:sz w:val="24"/>
          <w:szCs w:val="24"/>
        </w:rPr>
        <w:t xml:space="preserve"> цьому, Є</w:t>
      </w:r>
      <w:r w:rsidR="003D55F2">
        <w:rPr>
          <w:rFonts w:ascii="Times New Roman" w:hAnsi="Times New Roman" w:cs="Times New Roman"/>
          <w:sz w:val="24"/>
          <w:szCs w:val="24"/>
        </w:rPr>
        <w:t xml:space="preserve">вропейський </w:t>
      </w:r>
      <w:r w:rsidR="003D2882">
        <w:rPr>
          <w:rFonts w:ascii="Times New Roman" w:hAnsi="Times New Roman" w:cs="Times New Roman"/>
          <w:sz w:val="24"/>
          <w:szCs w:val="24"/>
        </w:rPr>
        <w:t>С</w:t>
      </w:r>
      <w:r w:rsidR="003D55F2">
        <w:rPr>
          <w:rFonts w:ascii="Times New Roman" w:hAnsi="Times New Roman" w:cs="Times New Roman"/>
          <w:sz w:val="24"/>
          <w:szCs w:val="24"/>
        </w:rPr>
        <w:t>оюз</w:t>
      </w:r>
      <w:r w:rsidR="003D2882">
        <w:rPr>
          <w:rFonts w:ascii="Times New Roman" w:hAnsi="Times New Roman" w:cs="Times New Roman"/>
          <w:sz w:val="24"/>
          <w:szCs w:val="24"/>
        </w:rPr>
        <w:t xml:space="preserve"> не є учасником ні конвенції, ні хартії</w:t>
      </w:r>
      <w:r w:rsidRPr="00030627">
        <w:rPr>
          <w:rFonts w:ascii="Times New Roman" w:hAnsi="Times New Roman" w:cs="Times New Roman"/>
          <w:sz w:val="24"/>
          <w:szCs w:val="24"/>
        </w:rPr>
        <w:t>. К</w:t>
      </w:r>
      <w:r w:rsidR="003D55F2">
        <w:rPr>
          <w:rFonts w:ascii="Times New Roman" w:hAnsi="Times New Roman" w:cs="Times New Roman"/>
          <w:sz w:val="24"/>
          <w:szCs w:val="24"/>
        </w:rPr>
        <w:t>ілька органів Ради Європи буде</w:t>
      </w:r>
      <w:r w:rsidRPr="00030627">
        <w:rPr>
          <w:rFonts w:ascii="Times New Roman" w:hAnsi="Times New Roman" w:cs="Times New Roman"/>
          <w:sz w:val="24"/>
          <w:szCs w:val="24"/>
        </w:rPr>
        <w:t xml:space="preserve"> </w:t>
      </w:r>
      <w:r w:rsidR="003D55F2">
        <w:rPr>
          <w:rFonts w:ascii="Times New Roman" w:hAnsi="Times New Roman" w:cs="Times New Roman"/>
          <w:sz w:val="24"/>
          <w:szCs w:val="24"/>
        </w:rPr>
        <w:t>закликано</w:t>
      </w:r>
      <w:r w:rsidR="00A358C7">
        <w:rPr>
          <w:rFonts w:ascii="Times New Roman" w:hAnsi="Times New Roman" w:cs="Times New Roman"/>
          <w:sz w:val="24"/>
          <w:szCs w:val="24"/>
        </w:rPr>
        <w:t xml:space="preserve"> </w:t>
      </w:r>
      <w:r w:rsidRPr="00030627">
        <w:rPr>
          <w:rFonts w:ascii="Times New Roman" w:hAnsi="Times New Roman" w:cs="Times New Roman"/>
          <w:sz w:val="24"/>
          <w:szCs w:val="24"/>
        </w:rPr>
        <w:t xml:space="preserve">співпрацювати з </w:t>
      </w:r>
      <w:r w:rsidR="00A358C7">
        <w:rPr>
          <w:rFonts w:ascii="Times New Roman" w:hAnsi="Times New Roman" w:cs="Times New Roman"/>
          <w:sz w:val="24"/>
          <w:szCs w:val="24"/>
        </w:rPr>
        <w:t>Є</w:t>
      </w:r>
      <w:r w:rsidR="003D55F2">
        <w:rPr>
          <w:rFonts w:ascii="Times New Roman" w:hAnsi="Times New Roman" w:cs="Times New Roman"/>
          <w:sz w:val="24"/>
          <w:szCs w:val="24"/>
        </w:rPr>
        <w:t xml:space="preserve">вропейським </w:t>
      </w:r>
      <w:r w:rsidR="00A358C7">
        <w:rPr>
          <w:rFonts w:ascii="Times New Roman" w:hAnsi="Times New Roman" w:cs="Times New Roman"/>
          <w:sz w:val="24"/>
          <w:szCs w:val="24"/>
        </w:rPr>
        <w:t>С</w:t>
      </w:r>
      <w:r w:rsidR="003D55F2">
        <w:rPr>
          <w:rFonts w:ascii="Times New Roman" w:hAnsi="Times New Roman" w:cs="Times New Roman"/>
          <w:sz w:val="24"/>
          <w:szCs w:val="24"/>
        </w:rPr>
        <w:t>оюзом</w:t>
      </w:r>
      <w:r w:rsidRPr="00030627">
        <w:rPr>
          <w:rFonts w:ascii="Times New Roman" w:hAnsi="Times New Roman" w:cs="Times New Roman"/>
          <w:sz w:val="24"/>
          <w:szCs w:val="24"/>
        </w:rPr>
        <w:t xml:space="preserve"> в рамк</w:t>
      </w:r>
      <w:r w:rsidR="00A358C7">
        <w:rPr>
          <w:rFonts w:ascii="Times New Roman" w:hAnsi="Times New Roman" w:cs="Times New Roman"/>
          <w:sz w:val="24"/>
          <w:szCs w:val="24"/>
        </w:rPr>
        <w:t>ах цього механізму: Європейська комісія «За демократію через право»</w:t>
      </w:r>
      <w:r w:rsidRPr="00030627">
        <w:rPr>
          <w:rFonts w:ascii="Times New Roman" w:hAnsi="Times New Roman" w:cs="Times New Roman"/>
          <w:sz w:val="24"/>
          <w:szCs w:val="24"/>
        </w:rPr>
        <w:t xml:space="preserve"> (Венеціанська комісія), Група держав проти корупції (</w:t>
      </w:r>
      <w:r w:rsidR="003D55F2">
        <w:rPr>
          <w:rFonts w:ascii="Times New Roman" w:hAnsi="Times New Roman" w:cs="Times New Roman"/>
          <w:sz w:val="24"/>
          <w:szCs w:val="24"/>
        </w:rPr>
        <w:t>ГРЕКО</w:t>
      </w:r>
      <w:r w:rsidRPr="00030627">
        <w:rPr>
          <w:rFonts w:ascii="Times New Roman" w:hAnsi="Times New Roman" w:cs="Times New Roman"/>
          <w:sz w:val="24"/>
          <w:szCs w:val="24"/>
        </w:rPr>
        <w:t xml:space="preserve">), Комісар Ради </w:t>
      </w:r>
      <w:r w:rsidRPr="00030627">
        <w:rPr>
          <w:rFonts w:ascii="Times New Roman" w:hAnsi="Times New Roman" w:cs="Times New Roman"/>
          <w:sz w:val="24"/>
          <w:szCs w:val="24"/>
        </w:rPr>
        <w:lastRenderedPageBreak/>
        <w:t>Європи з прав людини, Конгрес місцевих і регіональних влад Ради Європи та Європейська комісія з питань ефективності правосуддя (</w:t>
      </w:r>
      <w:r w:rsidR="005543BA">
        <w:rPr>
          <w:rFonts w:ascii="Times New Roman" w:hAnsi="Times New Roman" w:cs="Times New Roman"/>
          <w:sz w:val="24"/>
          <w:szCs w:val="24"/>
        </w:rPr>
        <w:t>ЄКЕП</w:t>
      </w:r>
      <w:r w:rsidRPr="00030627">
        <w:rPr>
          <w:rFonts w:ascii="Times New Roman" w:hAnsi="Times New Roman" w:cs="Times New Roman"/>
          <w:sz w:val="24"/>
          <w:szCs w:val="24"/>
        </w:rPr>
        <w:t>).</w:t>
      </w:r>
    </w:p>
    <w:p w:rsidR="00A64F38" w:rsidRDefault="00A64F38" w:rsidP="00A64F3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58C7" w:rsidRDefault="00A358C7" w:rsidP="00B97474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C7">
        <w:rPr>
          <w:rFonts w:ascii="Times New Roman" w:hAnsi="Times New Roman" w:cs="Times New Roman"/>
          <w:sz w:val="24"/>
          <w:szCs w:val="24"/>
        </w:rPr>
        <w:t xml:space="preserve">Асамблея нагадує, що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D55F2">
        <w:rPr>
          <w:rFonts w:ascii="Times New Roman" w:hAnsi="Times New Roman" w:cs="Times New Roman"/>
          <w:sz w:val="24"/>
          <w:szCs w:val="24"/>
        </w:rPr>
        <w:t xml:space="preserve">ада </w:t>
      </w:r>
      <w:r>
        <w:rPr>
          <w:rFonts w:ascii="Times New Roman" w:hAnsi="Times New Roman" w:cs="Times New Roman"/>
          <w:sz w:val="24"/>
          <w:szCs w:val="24"/>
        </w:rPr>
        <w:t>Є</w:t>
      </w:r>
      <w:r w:rsidR="003D55F2">
        <w:rPr>
          <w:rFonts w:ascii="Times New Roman" w:hAnsi="Times New Roman" w:cs="Times New Roman"/>
          <w:sz w:val="24"/>
          <w:szCs w:val="24"/>
        </w:rPr>
        <w:t>вропи</w:t>
      </w:r>
      <w:r w:rsidRPr="00A358C7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Є</w:t>
      </w:r>
      <w:r w:rsidR="003D55F2">
        <w:rPr>
          <w:rFonts w:ascii="Times New Roman" w:hAnsi="Times New Roman" w:cs="Times New Roman"/>
          <w:sz w:val="24"/>
          <w:szCs w:val="24"/>
        </w:rPr>
        <w:t xml:space="preserve">вропейський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D55F2">
        <w:rPr>
          <w:rFonts w:ascii="Times New Roman" w:hAnsi="Times New Roman" w:cs="Times New Roman"/>
          <w:sz w:val="24"/>
          <w:szCs w:val="24"/>
        </w:rPr>
        <w:t>оюз</w:t>
      </w:r>
      <w:r w:rsidRPr="00A358C7">
        <w:rPr>
          <w:rFonts w:ascii="Times New Roman" w:hAnsi="Times New Roman" w:cs="Times New Roman"/>
          <w:sz w:val="24"/>
          <w:szCs w:val="24"/>
        </w:rPr>
        <w:t xml:space="preserve"> покладаються на високі стандарти в галузі прав людини, верховенства права та демократії </w:t>
      </w:r>
      <w:r>
        <w:rPr>
          <w:rFonts w:ascii="Times New Roman" w:hAnsi="Times New Roman" w:cs="Times New Roman"/>
          <w:sz w:val="24"/>
          <w:szCs w:val="24"/>
        </w:rPr>
        <w:t>з метою</w:t>
      </w:r>
      <w:r w:rsidRPr="00A358C7">
        <w:rPr>
          <w:rFonts w:ascii="Times New Roman" w:hAnsi="Times New Roman" w:cs="Times New Roman"/>
          <w:sz w:val="24"/>
          <w:szCs w:val="24"/>
        </w:rPr>
        <w:t xml:space="preserve"> досягнення своїх </w:t>
      </w:r>
      <w:r w:rsidR="000336D6">
        <w:rPr>
          <w:rFonts w:ascii="Times New Roman" w:hAnsi="Times New Roman" w:cs="Times New Roman"/>
          <w:sz w:val="24"/>
          <w:szCs w:val="24"/>
        </w:rPr>
        <w:t>статутних</w:t>
      </w:r>
      <w:r w:rsidRPr="00A358C7">
        <w:rPr>
          <w:rFonts w:ascii="Times New Roman" w:hAnsi="Times New Roman" w:cs="Times New Roman"/>
          <w:sz w:val="24"/>
          <w:szCs w:val="24"/>
        </w:rPr>
        <w:t xml:space="preserve"> цілей. Починаючи з Меморандуму про взаєморозуміння 2007 року, </w:t>
      </w:r>
      <w:r w:rsidR="00D3366C">
        <w:rPr>
          <w:rFonts w:ascii="Times New Roman" w:hAnsi="Times New Roman" w:cs="Times New Roman"/>
          <w:sz w:val="24"/>
          <w:szCs w:val="24"/>
        </w:rPr>
        <w:t>Р</w:t>
      </w:r>
      <w:r w:rsidR="00712E28">
        <w:rPr>
          <w:rFonts w:ascii="Times New Roman" w:hAnsi="Times New Roman" w:cs="Times New Roman"/>
          <w:sz w:val="24"/>
          <w:szCs w:val="24"/>
        </w:rPr>
        <w:t xml:space="preserve">ада </w:t>
      </w:r>
      <w:r w:rsidR="00D3366C">
        <w:rPr>
          <w:rFonts w:ascii="Times New Roman" w:hAnsi="Times New Roman" w:cs="Times New Roman"/>
          <w:sz w:val="24"/>
          <w:szCs w:val="24"/>
        </w:rPr>
        <w:t>Є</w:t>
      </w:r>
      <w:r w:rsidR="00712E28">
        <w:rPr>
          <w:rFonts w:ascii="Times New Roman" w:hAnsi="Times New Roman" w:cs="Times New Roman"/>
          <w:sz w:val="24"/>
          <w:szCs w:val="24"/>
        </w:rPr>
        <w:t>вропи</w:t>
      </w:r>
      <w:r w:rsidRPr="00A358C7">
        <w:rPr>
          <w:rFonts w:ascii="Times New Roman" w:hAnsi="Times New Roman" w:cs="Times New Roman"/>
          <w:sz w:val="24"/>
          <w:szCs w:val="24"/>
        </w:rPr>
        <w:t xml:space="preserve"> та </w:t>
      </w:r>
      <w:r w:rsidR="00D3366C">
        <w:rPr>
          <w:rFonts w:ascii="Times New Roman" w:hAnsi="Times New Roman" w:cs="Times New Roman"/>
          <w:sz w:val="24"/>
          <w:szCs w:val="24"/>
        </w:rPr>
        <w:t>Є</w:t>
      </w:r>
      <w:r w:rsidR="00712E28">
        <w:rPr>
          <w:rFonts w:ascii="Times New Roman" w:hAnsi="Times New Roman" w:cs="Times New Roman"/>
          <w:sz w:val="24"/>
          <w:szCs w:val="24"/>
        </w:rPr>
        <w:t xml:space="preserve">вропейський </w:t>
      </w:r>
      <w:r w:rsidR="00D3366C">
        <w:rPr>
          <w:rFonts w:ascii="Times New Roman" w:hAnsi="Times New Roman" w:cs="Times New Roman"/>
          <w:sz w:val="24"/>
          <w:szCs w:val="24"/>
        </w:rPr>
        <w:t>С</w:t>
      </w:r>
      <w:r w:rsidR="00712E28">
        <w:rPr>
          <w:rFonts w:ascii="Times New Roman" w:hAnsi="Times New Roman" w:cs="Times New Roman"/>
          <w:sz w:val="24"/>
          <w:szCs w:val="24"/>
        </w:rPr>
        <w:t>оюз</w:t>
      </w:r>
      <w:r w:rsidRPr="00A358C7">
        <w:rPr>
          <w:rFonts w:ascii="Times New Roman" w:hAnsi="Times New Roman" w:cs="Times New Roman"/>
          <w:sz w:val="24"/>
          <w:szCs w:val="24"/>
        </w:rPr>
        <w:t xml:space="preserve"> розвинули стратегічне партнерство, засноване на цих спільних цінностях, </w:t>
      </w:r>
      <w:r w:rsidR="00712E28">
        <w:rPr>
          <w:rFonts w:ascii="Times New Roman" w:hAnsi="Times New Roman" w:cs="Times New Roman"/>
          <w:sz w:val="24"/>
          <w:szCs w:val="24"/>
        </w:rPr>
        <w:t>завдяки яким синергія та конвергенція</w:t>
      </w:r>
      <w:r w:rsidRPr="00A358C7">
        <w:rPr>
          <w:rFonts w:ascii="Times New Roman" w:hAnsi="Times New Roman" w:cs="Times New Roman"/>
          <w:sz w:val="24"/>
          <w:szCs w:val="24"/>
        </w:rPr>
        <w:t xml:space="preserve"> дій</w:t>
      </w:r>
      <w:r w:rsidR="00712E28">
        <w:rPr>
          <w:rFonts w:ascii="Times New Roman" w:hAnsi="Times New Roman" w:cs="Times New Roman"/>
          <w:sz w:val="24"/>
          <w:szCs w:val="24"/>
        </w:rPr>
        <w:t xml:space="preserve"> є невід’ємними</w:t>
      </w:r>
      <w:r w:rsidRPr="00A358C7">
        <w:rPr>
          <w:rFonts w:ascii="Times New Roman" w:hAnsi="Times New Roman" w:cs="Times New Roman"/>
          <w:sz w:val="24"/>
          <w:szCs w:val="24"/>
        </w:rPr>
        <w:t>. Сьогодні обидві організації несуть спіль</w:t>
      </w:r>
      <w:r w:rsidR="00D3366C">
        <w:rPr>
          <w:rFonts w:ascii="Times New Roman" w:hAnsi="Times New Roman" w:cs="Times New Roman"/>
          <w:sz w:val="24"/>
          <w:szCs w:val="24"/>
        </w:rPr>
        <w:t>ну відповідальність за підтримання</w:t>
      </w:r>
      <w:r w:rsidRPr="00A358C7">
        <w:rPr>
          <w:rFonts w:ascii="Times New Roman" w:hAnsi="Times New Roman" w:cs="Times New Roman"/>
          <w:sz w:val="24"/>
          <w:szCs w:val="24"/>
        </w:rPr>
        <w:t xml:space="preserve"> ефективності </w:t>
      </w:r>
      <w:r w:rsidR="00712E28">
        <w:rPr>
          <w:rFonts w:ascii="Times New Roman" w:hAnsi="Times New Roman" w:cs="Times New Roman"/>
          <w:sz w:val="24"/>
          <w:szCs w:val="24"/>
        </w:rPr>
        <w:t>в рамках свого правового простору</w:t>
      </w:r>
      <w:r w:rsidRPr="00A358C7">
        <w:rPr>
          <w:rFonts w:ascii="Times New Roman" w:hAnsi="Times New Roman" w:cs="Times New Roman"/>
          <w:sz w:val="24"/>
          <w:szCs w:val="24"/>
        </w:rPr>
        <w:t xml:space="preserve">, гарантуючи, що будь-яке </w:t>
      </w:r>
      <w:r w:rsidR="00D3366C">
        <w:rPr>
          <w:rFonts w:ascii="Times New Roman" w:hAnsi="Times New Roman" w:cs="Times New Roman"/>
          <w:sz w:val="24"/>
          <w:szCs w:val="24"/>
        </w:rPr>
        <w:t>дублювання компетенцій</w:t>
      </w:r>
      <w:r w:rsidRPr="00A358C7">
        <w:rPr>
          <w:rFonts w:ascii="Times New Roman" w:hAnsi="Times New Roman" w:cs="Times New Roman"/>
          <w:sz w:val="24"/>
          <w:szCs w:val="24"/>
        </w:rPr>
        <w:t xml:space="preserve"> не призведе до конфлікту, і забезпечуючи узгоджене тлумачення </w:t>
      </w:r>
      <w:r w:rsidR="008E2E8C">
        <w:rPr>
          <w:rFonts w:ascii="Times New Roman" w:hAnsi="Times New Roman" w:cs="Times New Roman"/>
          <w:sz w:val="24"/>
          <w:szCs w:val="24"/>
        </w:rPr>
        <w:t>цих</w:t>
      </w:r>
      <w:r w:rsidR="00712E28">
        <w:rPr>
          <w:rFonts w:ascii="Times New Roman" w:hAnsi="Times New Roman" w:cs="Times New Roman"/>
          <w:sz w:val="24"/>
          <w:szCs w:val="24"/>
        </w:rPr>
        <w:t xml:space="preserve"> спільних основоположних</w:t>
      </w:r>
      <w:r w:rsidRPr="00A358C7">
        <w:rPr>
          <w:rFonts w:ascii="Times New Roman" w:hAnsi="Times New Roman" w:cs="Times New Roman"/>
          <w:sz w:val="24"/>
          <w:szCs w:val="24"/>
        </w:rPr>
        <w:t xml:space="preserve"> цінностей і принципів, </w:t>
      </w:r>
      <w:r w:rsidR="00712E28">
        <w:rPr>
          <w:rFonts w:ascii="Times New Roman" w:hAnsi="Times New Roman" w:cs="Times New Roman"/>
          <w:sz w:val="24"/>
          <w:szCs w:val="24"/>
        </w:rPr>
        <w:t>з метою уникнення</w:t>
      </w:r>
      <w:r w:rsidRPr="00A358C7">
        <w:rPr>
          <w:rFonts w:ascii="Times New Roman" w:hAnsi="Times New Roman" w:cs="Times New Roman"/>
          <w:sz w:val="24"/>
          <w:szCs w:val="24"/>
        </w:rPr>
        <w:t xml:space="preserve"> фрагментації розуміння </w:t>
      </w:r>
      <w:r w:rsidR="00712E28">
        <w:rPr>
          <w:rFonts w:ascii="Times New Roman" w:hAnsi="Times New Roman" w:cs="Times New Roman"/>
          <w:sz w:val="24"/>
          <w:szCs w:val="24"/>
        </w:rPr>
        <w:t>основних</w:t>
      </w:r>
      <w:r w:rsidRPr="00A358C7">
        <w:rPr>
          <w:rFonts w:ascii="Times New Roman" w:hAnsi="Times New Roman" w:cs="Times New Roman"/>
          <w:sz w:val="24"/>
          <w:szCs w:val="24"/>
        </w:rPr>
        <w:t xml:space="preserve"> цінностей та їх імплементації на європейському континенті.</w:t>
      </w:r>
    </w:p>
    <w:p w:rsidR="00FE4FD3" w:rsidRDefault="00FE4FD3" w:rsidP="00FE4FD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416F" w:rsidRDefault="008E2E8C" w:rsidP="003C416F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2E8C">
        <w:rPr>
          <w:rFonts w:ascii="Times New Roman" w:hAnsi="Times New Roman" w:cs="Times New Roman"/>
          <w:sz w:val="24"/>
          <w:szCs w:val="24"/>
        </w:rPr>
        <w:t xml:space="preserve">Протягом останніх років Асамблея неодноразово займала позицію щодо того, як досягти взаємодоповнюваності дій між двома організаціями, зокрема, у </w:t>
      </w:r>
      <w:hyperlink r:id="rId9" w:history="1">
        <w:r w:rsidRPr="00B97474">
          <w:rPr>
            <w:rStyle w:val="ab"/>
            <w:rFonts w:ascii="Times New Roman" w:hAnsi="Times New Roman" w:cs="Times New Roman"/>
            <w:sz w:val="24"/>
            <w:szCs w:val="24"/>
          </w:rPr>
          <w:t>Резолюції 1427 (2005)</w:t>
        </w:r>
      </w:hyperlink>
      <w:r w:rsidRPr="008E2E8C">
        <w:rPr>
          <w:rFonts w:ascii="Times New Roman" w:hAnsi="Times New Roman" w:cs="Times New Roman"/>
          <w:sz w:val="24"/>
          <w:szCs w:val="24"/>
        </w:rPr>
        <w:t xml:space="preserve"> та </w:t>
      </w:r>
      <w:hyperlink r:id="rId10" w:history="1">
        <w:r w:rsidRPr="00B97474">
          <w:rPr>
            <w:rStyle w:val="ab"/>
            <w:rFonts w:ascii="Times New Roman" w:hAnsi="Times New Roman" w:cs="Times New Roman"/>
            <w:sz w:val="24"/>
            <w:szCs w:val="24"/>
          </w:rPr>
          <w:t>Рекомендації 1696 (2005)</w:t>
        </w:r>
      </w:hyperlink>
      <w:r w:rsidRPr="008E2E8C">
        <w:rPr>
          <w:rFonts w:ascii="Times New Roman" w:hAnsi="Times New Roman" w:cs="Times New Roman"/>
          <w:sz w:val="24"/>
          <w:szCs w:val="24"/>
        </w:rPr>
        <w:t xml:space="preserve"> </w:t>
      </w:r>
      <w:r w:rsidR="00B97474">
        <w:rPr>
          <w:rFonts w:ascii="Times New Roman" w:hAnsi="Times New Roman" w:cs="Times New Roman"/>
          <w:sz w:val="24"/>
          <w:szCs w:val="24"/>
        </w:rPr>
        <w:t>про плани</w:t>
      </w:r>
      <w:r w:rsidRPr="008E2E8C">
        <w:rPr>
          <w:rFonts w:ascii="Times New Roman" w:hAnsi="Times New Roman" w:cs="Times New Roman"/>
          <w:sz w:val="24"/>
          <w:szCs w:val="24"/>
        </w:rPr>
        <w:t xml:space="preserve"> створення Агентства з основних прав Європейського Союзу, </w:t>
      </w:r>
      <w:hyperlink r:id="rId11" w:history="1">
        <w:r w:rsidRPr="00B97474">
          <w:rPr>
            <w:rStyle w:val="ab"/>
            <w:rFonts w:ascii="Times New Roman" w:hAnsi="Times New Roman" w:cs="Times New Roman"/>
            <w:sz w:val="24"/>
            <w:szCs w:val="24"/>
          </w:rPr>
          <w:t>Рекомендації 1744 (2006)</w:t>
        </w:r>
      </w:hyperlink>
      <w:r w:rsidR="00B97474">
        <w:rPr>
          <w:rFonts w:ascii="Times New Roman" w:hAnsi="Times New Roman" w:cs="Times New Roman"/>
          <w:sz w:val="24"/>
          <w:szCs w:val="24"/>
        </w:rPr>
        <w:t xml:space="preserve"> «</w:t>
      </w:r>
      <w:r w:rsidRPr="008E2E8C">
        <w:rPr>
          <w:rFonts w:ascii="Times New Roman" w:hAnsi="Times New Roman" w:cs="Times New Roman"/>
          <w:sz w:val="24"/>
          <w:szCs w:val="24"/>
        </w:rPr>
        <w:t>Подальші дії за результатами Третього саміту: Рада Європи та Агентство з основних прав Європейськ</w:t>
      </w:r>
      <w:r w:rsidR="00B97474">
        <w:rPr>
          <w:rFonts w:ascii="Times New Roman" w:hAnsi="Times New Roman" w:cs="Times New Roman"/>
          <w:sz w:val="24"/>
          <w:szCs w:val="24"/>
        </w:rPr>
        <w:t>ого Союзу»</w:t>
      </w:r>
      <w:r w:rsidRPr="008E2E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B97474">
          <w:rPr>
            <w:rStyle w:val="ab"/>
            <w:rFonts w:ascii="Times New Roman" w:hAnsi="Times New Roman" w:cs="Times New Roman"/>
            <w:sz w:val="24"/>
            <w:szCs w:val="24"/>
          </w:rPr>
          <w:t>Резолюція 1756 (2010)</w:t>
        </w:r>
      </w:hyperlink>
      <w:r w:rsidRPr="008E2E8C">
        <w:rPr>
          <w:rFonts w:ascii="Times New Roman" w:hAnsi="Times New Roman" w:cs="Times New Roman"/>
          <w:sz w:val="24"/>
          <w:szCs w:val="24"/>
        </w:rPr>
        <w:t xml:space="preserve"> </w:t>
      </w:r>
      <w:r w:rsidRPr="00B97474">
        <w:rPr>
          <w:rFonts w:ascii="Times New Roman" w:hAnsi="Times New Roman" w:cs="Times New Roman"/>
          <w:sz w:val="24"/>
          <w:szCs w:val="24"/>
        </w:rPr>
        <w:t xml:space="preserve">та </w:t>
      </w:r>
      <w:hyperlink r:id="rId13" w:history="1">
        <w:r w:rsidRPr="00B97474">
          <w:rPr>
            <w:rStyle w:val="ab"/>
            <w:rFonts w:ascii="Times New Roman" w:hAnsi="Times New Roman" w:cs="Times New Roman"/>
            <w:sz w:val="24"/>
            <w:szCs w:val="24"/>
          </w:rPr>
          <w:t>Рекомендація 1935 (2010)</w:t>
        </w:r>
      </w:hyperlink>
      <w:r w:rsidRPr="00B97474">
        <w:rPr>
          <w:rFonts w:ascii="Times New Roman" w:hAnsi="Times New Roman" w:cs="Times New Roman"/>
          <w:sz w:val="24"/>
          <w:szCs w:val="24"/>
        </w:rPr>
        <w:t xml:space="preserve"> про необхідність уникнення дублювання роботи Ради Європи Агентством з основних прав</w:t>
      </w:r>
      <w:r w:rsidR="00B97474" w:rsidRPr="00B97474">
        <w:rPr>
          <w:rFonts w:ascii="Times New Roman" w:hAnsi="Times New Roman" w:cs="Times New Roman"/>
          <w:sz w:val="24"/>
          <w:szCs w:val="24"/>
        </w:rPr>
        <w:t xml:space="preserve"> Європейського Союзу</w:t>
      </w:r>
      <w:r w:rsidRPr="00B97474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B97474">
          <w:rPr>
            <w:rStyle w:val="ab"/>
            <w:rFonts w:ascii="Times New Roman" w:hAnsi="Times New Roman" w:cs="Times New Roman"/>
            <w:sz w:val="24"/>
            <w:szCs w:val="24"/>
          </w:rPr>
          <w:t>Резолюція 1836 (2011)</w:t>
        </w:r>
      </w:hyperlink>
      <w:r w:rsidRPr="00B97474">
        <w:rPr>
          <w:rFonts w:ascii="Times New Roman" w:hAnsi="Times New Roman" w:cs="Times New Roman"/>
          <w:sz w:val="24"/>
          <w:szCs w:val="24"/>
        </w:rPr>
        <w:t xml:space="preserve"> та </w:t>
      </w:r>
      <w:hyperlink r:id="rId15" w:history="1">
        <w:r w:rsidRPr="00B97474">
          <w:rPr>
            <w:rStyle w:val="ab"/>
            <w:rFonts w:ascii="Times New Roman" w:hAnsi="Times New Roman" w:cs="Times New Roman"/>
            <w:sz w:val="24"/>
            <w:szCs w:val="24"/>
          </w:rPr>
          <w:t>Рекомендація 1982 (2011)</w:t>
        </w:r>
      </w:hyperlink>
      <w:r w:rsidRPr="008E2E8C">
        <w:rPr>
          <w:rFonts w:ascii="Times New Roman" w:hAnsi="Times New Roman" w:cs="Times New Roman"/>
          <w:sz w:val="24"/>
          <w:szCs w:val="24"/>
        </w:rPr>
        <w:t xml:space="preserve"> про вплив Лісабонського договору на Раду Європи, </w:t>
      </w:r>
      <w:hyperlink r:id="rId16" w:history="1">
        <w:r w:rsidRPr="003C416F">
          <w:rPr>
            <w:rStyle w:val="ab"/>
            <w:rFonts w:ascii="Times New Roman" w:hAnsi="Times New Roman" w:cs="Times New Roman"/>
            <w:sz w:val="24"/>
            <w:szCs w:val="24"/>
          </w:rPr>
          <w:t>Рекомендація 2027 (2013)</w:t>
        </w:r>
      </w:hyperlink>
      <w:r w:rsidR="003C416F">
        <w:rPr>
          <w:rFonts w:ascii="Times New Roman" w:hAnsi="Times New Roman" w:cs="Times New Roman"/>
          <w:sz w:val="24"/>
          <w:szCs w:val="24"/>
        </w:rPr>
        <w:t xml:space="preserve"> «</w:t>
      </w:r>
      <w:r w:rsidRPr="008E2E8C">
        <w:rPr>
          <w:rFonts w:ascii="Times New Roman" w:hAnsi="Times New Roman" w:cs="Times New Roman"/>
          <w:sz w:val="24"/>
          <w:szCs w:val="24"/>
        </w:rPr>
        <w:t>Порядок денний Європейського Союзу та Ради Європи з прав лю</w:t>
      </w:r>
      <w:r w:rsidR="003C416F">
        <w:rPr>
          <w:rFonts w:ascii="Times New Roman" w:hAnsi="Times New Roman" w:cs="Times New Roman"/>
          <w:sz w:val="24"/>
          <w:szCs w:val="24"/>
        </w:rPr>
        <w:t>дини: синергія, а не дублювання»</w:t>
      </w:r>
      <w:r w:rsidRPr="008E2E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3C416F">
          <w:rPr>
            <w:rStyle w:val="ab"/>
            <w:rFonts w:ascii="Times New Roman" w:hAnsi="Times New Roman" w:cs="Times New Roman"/>
            <w:sz w:val="24"/>
            <w:szCs w:val="24"/>
          </w:rPr>
          <w:t>Резолюція 2029 (2015)</w:t>
        </w:r>
      </w:hyperlink>
      <w:r w:rsidRPr="008E2E8C">
        <w:rPr>
          <w:rFonts w:ascii="Times New Roman" w:hAnsi="Times New Roman" w:cs="Times New Roman"/>
          <w:sz w:val="24"/>
          <w:szCs w:val="24"/>
        </w:rPr>
        <w:t xml:space="preserve"> та </w:t>
      </w:r>
      <w:hyperlink r:id="rId18" w:history="1">
        <w:r w:rsidRPr="003C416F">
          <w:rPr>
            <w:rStyle w:val="ab"/>
            <w:rFonts w:ascii="Times New Roman" w:hAnsi="Times New Roman" w:cs="Times New Roman"/>
            <w:sz w:val="24"/>
            <w:szCs w:val="24"/>
          </w:rPr>
          <w:t>Рекомендація 2060 (2015)</w:t>
        </w:r>
      </w:hyperlink>
      <w:r w:rsidRPr="008E2E8C">
        <w:rPr>
          <w:rFonts w:ascii="Times New Roman" w:hAnsi="Times New Roman" w:cs="Times New Roman"/>
          <w:sz w:val="24"/>
          <w:szCs w:val="24"/>
        </w:rPr>
        <w:t xml:space="preserve"> про </w:t>
      </w:r>
      <w:r w:rsidR="003C416F">
        <w:rPr>
          <w:rFonts w:ascii="Times New Roman" w:hAnsi="Times New Roman" w:cs="Times New Roman"/>
          <w:sz w:val="24"/>
          <w:szCs w:val="24"/>
        </w:rPr>
        <w:t>імплементацію</w:t>
      </w:r>
      <w:r w:rsidRPr="008E2E8C">
        <w:rPr>
          <w:rFonts w:ascii="Times New Roman" w:hAnsi="Times New Roman" w:cs="Times New Roman"/>
          <w:sz w:val="24"/>
          <w:szCs w:val="24"/>
        </w:rPr>
        <w:t xml:space="preserve"> Меморандуму про взаєморозуміння між Радою Європи та Європейським Союзом, </w:t>
      </w:r>
      <w:hyperlink r:id="rId19" w:history="1">
        <w:r w:rsidRPr="003C416F">
          <w:rPr>
            <w:rStyle w:val="ab"/>
            <w:rFonts w:ascii="Times New Roman" w:hAnsi="Times New Roman" w:cs="Times New Roman"/>
            <w:sz w:val="24"/>
            <w:szCs w:val="24"/>
          </w:rPr>
          <w:t>Резолюція 2041 (2015)</w:t>
        </w:r>
      </w:hyperlink>
      <w:r w:rsidRPr="008E2E8C">
        <w:rPr>
          <w:rFonts w:ascii="Times New Roman" w:hAnsi="Times New Roman" w:cs="Times New Roman"/>
          <w:sz w:val="24"/>
          <w:szCs w:val="24"/>
        </w:rPr>
        <w:t xml:space="preserve"> та </w:t>
      </w:r>
      <w:hyperlink r:id="rId20" w:history="1">
        <w:r w:rsidRPr="003C416F">
          <w:rPr>
            <w:rStyle w:val="ab"/>
            <w:rFonts w:ascii="Times New Roman" w:hAnsi="Times New Roman" w:cs="Times New Roman"/>
            <w:sz w:val="24"/>
            <w:szCs w:val="24"/>
          </w:rPr>
          <w:t>Рекомендація 2065 (2015)</w:t>
        </w:r>
      </w:hyperlink>
      <w:r w:rsidRPr="008E2E8C">
        <w:rPr>
          <w:rFonts w:ascii="Times New Roman" w:hAnsi="Times New Roman" w:cs="Times New Roman"/>
          <w:sz w:val="24"/>
          <w:szCs w:val="24"/>
        </w:rPr>
        <w:t xml:space="preserve"> про європейські інституції та права людини в Європі.</w:t>
      </w:r>
    </w:p>
    <w:p w:rsidR="00FE4FD3" w:rsidRDefault="00FE4FD3" w:rsidP="00FE4FD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2823" w:rsidRDefault="003C416F" w:rsidP="000B282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16F">
        <w:rPr>
          <w:rFonts w:ascii="Times New Roman" w:hAnsi="Times New Roman" w:cs="Times New Roman"/>
          <w:sz w:val="24"/>
          <w:szCs w:val="24"/>
        </w:rPr>
        <w:t xml:space="preserve">Асамблея рішуче підтверджує, що відповідно до Меморандуму про </w:t>
      </w:r>
      <w:r w:rsidR="00711517">
        <w:rPr>
          <w:rFonts w:ascii="Times New Roman" w:hAnsi="Times New Roman" w:cs="Times New Roman"/>
          <w:sz w:val="24"/>
          <w:szCs w:val="24"/>
        </w:rPr>
        <w:t>взаєморозуміння 2007 року, співпраця</w:t>
      </w:r>
      <w:r w:rsidRPr="003C416F">
        <w:rPr>
          <w:rFonts w:ascii="Times New Roman" w:hAnsi="Times New Roman" w:cs="Times New Roman"/>
          <w:sz w:val="24"/>
          <w:szCs w:val="24"/>
        </w:rPr>
        <w:t xml:space="preserve"> між двома організаціями </w:t>
      </w:r>
      <w:r>
        <w:rPr>
          <w:rFonts w:ascii="Times New Roman" w:hAnsi="Times New Roman" w:cs="Times New Roman"/>
          <w:sz w:val="24"/>
          <w:szCs w:val="24"/>
        </w:rPr>
        <w:t>буде заснована на «</w:t>
      </w:r>
      <w:r w:rsidRPr="003C416F">
        <w:rPr>
          <w:rFonts w:ascii="Times New Roman" w:hAnsi="Times New Roman" w:cs="Times New Roman"/>
          <w:sz w:val="24"/>
          <w:szCs w:val="24"/>
        </w:rPr>
        <w:t>принципах неподільності та універсальності прав людини, поваги до стандартів, встановлених у цій сфері основополож</w:t>
      </w:r>
      <w:r>
        <w:rPr>
          <w:rFonts w:ascii="Times New Roman" w:hAnsi="Times New Roman" w:cs="Times New Roman"/>
          <w:sz w:val="24"/>
          <w:szCs w:val="24"/>
        </w:rPr>
        <w:t>ними документами Організації Об’</w:t>
      </w:r>
      <w:r w:rsidRPr="003C416F">
        <w:rPr>
          <w:rFonts w:ascii="Times New Roman" w:hAnsi="Times New Roman" w:cs="Times New Roman"/>
          <w:sz w:val="24"/>
          <w:szCs w:val="24"/>
        </w:rPr>
        <w:t>єднаних Націй та Ради Європи, зокрема Конвенцією про захист прав людини і основоположних свобод, а також на збереженні цілісності систе</w:t>
      </w:r>
      <w:r>
        <w:rPr>
          <w:rFonts w:ascii="Times New Roman" w:hAnsi="Times New Roman" w:cs="Times New Roman"/>
          <w:sz w:val="24"/>
          <w:szCs w:val="24"/>
        </w:rPr>
        <w:t xml:space="preserve">ми захисту прав людини в Європі». </w:t>
      </w:r>
      <w:r w:rsidR="00711517">
        <w:rPr>
          <w:rFonts w:ascii="Times New Roman" w:hAnsi="Times New Roman" w:cs="Times New Roman"/>
          <w:sz w:val="24"/>
          <w:szCs w:val="24"/>
        </w:rPr>
        <w:t>Більш</w:t>
      </w:r>
      <w:r>
        <w:rPr>
          <w:rFonts w:ascii="Times New Roman" w:hAnsi="Times New Roman" w:cs="Times New Roman"/>
          <w:sz w:val="24"/>
          <w:szCs w:val="24"/>
        </w:rPr>
        <w:t xml:space="preserve"> того, «</w:t>
      </w:r>
      <w:r w:rsidRPr="003C416F">
        <w:rPr>
          <w:rFonts w:ascii="Times New Roman" w:hAnsi="Times New Roman" w:cs="Times New Roman"/>
          <w:sz w:val="24"/>
          <w:szCs w:val="24"/>
        </w:rPr>
        <w:t>Європейський Союз розглядає Ра</w:t>
      </w:r>
      <w:r w:rsidR="00711517">
        <w:rPr>
          <w:rFonts w:ascii="Times New Roman" w:hAnsi="Times New Roman" w:cs="Times New Roman"/>
          <w:sz w:val="24"/>
          <w:szCs w:val="24"/>
        </w:rPr>
        <w:t>ду Європи як загальноєвропейську</w:t>
      </w:r>
      <w:r w:rsidRPr="003C416F">
        <w:rPr>
          <w:rFonts w:ascii="Times New Roman" w:hAnsi="Times New Roman" w:cs="Times New Roman"/>
          <w:sz w:val="24"/>
          <w:szCs w:val="24"/>
        </w:rPr>
        <w:t xml:space="preserve"> </w:t>
      </w:r>
      <w:r w:rsidR="00711517">
        <w:rPr>
          <w:rFonts w:ascii="Times New Roman" w:hAnsi="Times New Roman" w:cs="Times New Roman"/>
          <w:sz w:val="24"/>
          <w:szCs w:val="24"/>
        </w:rPr>
        <w:t>нормативно-правову базу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 w:rsidR="00711517">
        <w:rPr>
          <w:rFonts w:ascii="Times New Roman" w:hAnsi="Times New Roman" w:cs="Times New Roman"/>
          <w:sz w:val="24"/>
          <w:szCs w:val="24"/>
        </w:rPr>
        <w:t xml:space="preserve">питань </w:t>
      </w:r>
      <w:r>
        <w:rPr>
          <w:rFonts w:ascii="Times New Roman" w:hAnsi="Times New Roman" w:cs="Times New Roman"/>
          <w:sz w:val="24"/>
          <w:szCs w:val="24"/>
        </w:rPr>
        <w:t>прав людини» і «</w:t>
      </w:r>
      <w:r w:rsidRPr="003C416F">
        <w:rPr>
          <w:rFonts w:ascii="Times New Roman" w:hAnsi="Times New Roman" w:cs="Times New Roman"/>
          <w:sz w:val="24"/>
          <w:szCs w:val="24"/>
        </w:rPr>
        <w:t xml:space="preserve">Рада Європи залишатиметься еталоном </w:t>
      </w:r>
      <w:r w:rsidR="00711517">
        <w:rPr>
          <w:rFonts w:ascii="Times New Roman" w:hAnsi="Times New Roman" w:cs="Times New Roman"/>
          <w:sz w:val="24"/>
          <w:szCs w:val="24"/>
        </w:rPr>
        <w:t xml:space="preserve">з питань </w:t>
      </w:r>
      <w:r w:rsidRPr="003C416F">
        <w:rPr>
          <w:rFonts w:ascii="Times New Roman" w:hAnsi="Times New Roman" w:cs="Times New Roman"/>
          <w:sz w:val="24"/>
          <w:szCs w:val="24"/>
        </w:rPr>
        <w:t>прав людини, верховенс</w:t>
      </w:r>
      <w:r>
        <w:rPr>
          <w:rFonts w:ascii="Times New Roman" w:hAnsi="Times New Roman" w:cs="Times New Roman"/>
          <w:sz w:val="24"/>
          <w:szCs w:val="24"/>
        </w:rPr>
        <w:t>тва права і демократії в Європі»</w:t>
      </w:r>
      <w:r w:rsidRPr="003C41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Асамблея</w:t>
      </w:r>
      <w:r w:rsidRPr="003C416F">
        <w:rPr>
          <w:rFonts w:ascii="Times New Roman" w:hAnsi="Times New Roman" w:cs="Times New Roman"/>
          <w:sz w:val="24"/>
          <w:szCs w:val="24"/>
        </w:rPr>
        <w:t xml:space="preserve"> вітає той факт, що багато конвенцій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11517">
        <w:rPr>
          <w:rFonts w:ascii="Times New Roman" w:hAnsi="Times New Roman" w:cs="Times New Roman"/>
          <w:sz w:val="24"/>
          <w:szCs w:val="24"/>
        </w:rPr>
        <w:t xml:space="preserve">ади </w:t>
      </w:r>
      <w:r>
        <w:rPr>
          <w:rFonts w:ascii="Times New Roman" w:hAnsi="Times New Roman" w:cs="Times New Roman"/>
          <w:sz w:val="24"/>
          <w:szCs w:val="24"/>
        </w:rPr>
        <w:t>Є</w:t>
      </w:r>
      <w:r w:rsidR="00711517">
        <w:rPr>
          <w:rFonts w:ascii="Times New Roman" w:hAnsi="Times New Roman" w:cs="Times New Roman"/>
          <w:sz w:val="24"/>
          <w:szCs w:val="24"/>
        </w:rPr>
        <w:t>вропи</w:t>
      </w:r>
      <w:r w:rsidRPr="003C416F">
        <w:rPr>
          <w:rFonts w:ascii="Times New Roman" w:hAnsi="Times New Roman" w:cs="Times New Roman"/>
          <w:sz w:val="24"/>
          <w:szCs w:val="24"/>
        </w:rPr>
        <w:t xml:space="preserve"> та рекомендацій Комітету міністрів містять стандарти, які сьогодні розглядаються як </w:t>
      </w:r>
      <w:r w:rsidRPr="003C416F">
        <w:rPr>
          <w:rFonts w:ascii="Times New Roman" w:hAnsi="Times New Roman" w:cs="Times New Roman"/>
          <w:i/>
          <w:sz w:val="24"/>
          <w:szCs w:val="24"/>
        </w:rPr>
        <w:t>acquis communautaires</w:t>
      </w:r>
      <w:r w:rsidRPr="003C416F">
        <w:rPr>
          <w:rFonts w:ascii="Times New Roman" w:hAnsi="Times New Roman" w:cs="Times New Roman"/>
          <w:sz w:val="24"/>
          <w:szCs w:val="24"/>
        </w:rPr>
        <w:t xml:space="preserve">, при цьому </w:t>
      </w:r>
      <w:r w:rsidR="009E5B79">
        <w:rPr>
          <w:rFonts w:ascii="Times New Roman" w:hAnsi="Times New Roman" w:cs="Times New Roman"/>
          <w:sz w:val="24"/>
          <w:szCs w:val="24"/>
        </w:rPr>
        <w:t>алгоритм</w:t>
      </w:r>
      <w:r w:rsidR="00FC0148">
        <w:rPr>
          <w:rFonts w:ascii="Times New Roman" w:hAnsi="Times New Roman" w:cs="Times New Roman"/>
          <w:sz w:val="24"/>
          <w:szCs w:val="24"/>
        </w:rPr>
        <w:t xml:space="preserve"> та логіка функціонування </w:t>
      </w:r>
      <w:r w:rsidRPr="003C416F">
        <w:rPr>
          <w:rFonts w:ascii="Times New Roman" w:hAnsi="Times New Roman" w:cs="Times New Roman"/>
          <w:sz w:val="24"/>
          <w:szCs w:val="24"/>
        </w:rPr>
        <w:t xml:space="preserve">Організації не ставиться під сумнів. Меморандум про взаєморозуміння також запропонував інституціям </w:t>
      </w:r>
      <w:r>
        <w:rPr>
          <w:rFonts w:ascii="Times New Roman" w:hAnsi="Times New Roman" w:cs="Times New Roman"/>
          <w:sz w:val="24"/>
          <w:szCs w:val="24"/>
        </w:rPr>
        <w:t>Є</w:t>
      </w:r>
      <w:r w:rsidR="00FC0148">
        <w:rPr>
          <w:rFonts w:ascii="Times New Roman" w:hAnsi="Times New Roman" w:cs="Times New Roman"/>
          <w:sz w:val="24"/>
          <w:szCs w:val="24"/>
        </w:rPr>
        <w:t xml:space="preserve">вропейського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C0148">
        <w:rPr>
          <w:rFonts w:ascii="Times New Roman" w:hAnsi="Times New Roman" w:cs="Times New Roman"/>
          <w:sz w:val="24"/>
          <w:szCs w:val="24"/>
        </w:rPr>
        <w:t>оюзу</w:t>
      </w:r>
      <w:r w:rsidRPr="003C4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цитувати</w:t>
      </w:r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3C416F">
        <w:rPr>
          <w:rFonts w:ascii="Times New Roman" w:hAnsi="Times New Roman" w:cs="Times New Roman"/>
          <w:sz w:val="24"/>
          <w:szCs w:val="24"/>
        </w:rPr>
        <w:t xml:space="preserve">відповідні норми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C0148">
        <w:rPr>
          <w:rFonts w:ascii="Times New Roman" w:hAnsi="Times New Roman" w:cs="Times New Roman"/>
          <w:sz w:val="24"/>
          <w:szCs w:val="24"/>
        </w:rPr>
        <w:t xml:space="preserve">ади </w:t>
      </w:r>
      <w:r>
        <w:rPr>
          <w:rFonts w:ascii="Times New Roman" w:hAnsi="Times New Roman" w:cs="Times New Roman"/>
          <w:sz w:val="24"/>
          <w:szCs w:val="24"/>
        </w:rPr>
        <w:t>Є</w:t>
      </w:r>
      <w:r w:rsidR="00FC0148">
        <w:rPr>
          <w:rFonts w:ascii="Times New Roman" w:hAnsi="Times New Roman" w:cs="Times New Roman"/>
          <w:sz w:val="24"/>
          <w:szCs w:val="24"/>
        </w:rPr>
        <w:t>вропи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C416F">
        <w:rPr>
          <w:rFonts w:ascii="Times New Roman" w:hAnsi="Times New Roman" w:cs="Times New Roman"/>
          <w:sz w:val="24"/>
          <w:szCs w:val="24"/>
        </w:rPr>
        <w:t>в</w:t>
      </w:r>
      <w:r w:rsidR="000B2823">
        <w:rPr>
          <w:rFonts w:ascii="Times New Roman" w:hAnsi="Times New Roman" w:cs="Times New Roman"/>
          <w:sz w:val="24"/>
          <w:szCs w:val="24"/>
        </w:rPr>
        <w:t xml:space="preserve"> документах Європейського Союзу»</w:t>
      </w:r>
      <w:r w:rsidRPr="003C416F">
        <w:rPr>
          <w:rFonts w:ascii="Times New Roman" w:hAnsi="Times New Roman" w:cs="Times New Roman"/>
          <w:sz w:val="24"/>
          <w:szCs w:val="24"/>
        </w:rPr>
        <w:t xml:space="preserve"> і брати до уваги рішення і висновки органів </w:t>
      </w:r>
      <w:r w:rsidR="000B2823">
        <w:rPr>
          <w:rFonts w:ascii="Times New Roman" w:hAnsi="Times New Roman" w:cs="Times New Roman"/>
          <w:sz w:val="24"/>
          <w:szCs w:val="24"/>
        </w:rPr>
        <w:t>РЄ «там, де це доречно»</w:t>
      </w:r>
      <w:r w:rsidRPr="003C416F">
        <w:rPr>
          <w:rFonts w:ascii="Times New Roman" w:hAnsi="Times New Roman" w:cs="Times New Roman"/>
          <w:sz w:val="24"/>
          <w:szCs w:val="24"/>
        </w:rPr>
        <w:t>.</w:t>
      </w:r>
    </w:p>
    <w:p w:rsidR="00FE4FD3" w:rsidRDefault="00FE4FD3" w:rsidP="00FE4FD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2823" w:rsidRDefault="000B2823" w:rsidP="000B282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C0148">
        <w:rPr>
          <w:rFonts w:ascii="Times New Roman" w:hAnsi="Times New Roman" w:cs="Times New Roman"/>
          <w:sz w:val="24"/>
          <w:szCs w:val="24"/>
        </w:rPr>
        <w:t xml:space="preserve">ада </w:t>
      </w:r>
      <w:r>
        <w:rPr>
          <w:rFonts w:ascii="Times New Roman" w:hAnsi="Times New Roman" w:cs="Times New Roman"/>
          <w:sz w:val="24"/>
          <w:szCs w:val="24"/>
        </w:rPr>
        <w:t>Є</w:t>
      </w:r>
      <w:r w:rsidR="00FC0148">
        <w:rPr>
          <w:rFonts w:ascii="Times New Roman" w:hAnsi="Times New Roman" w:cs="Times New Roman"/>
          <w:sz w:val="24"/>
          <w:szCs w:val="24"/>
        </w:rPr>
        <w:t>вропи</w:t>
      </w:r>
      <w:r w:rsidRPr="000B2823">
        <w:rPr>
          <w:rFonts w:ascii="Times New Roman" w:hAnsi="Times New Roman" w:cs="Times New Roman"/>
          <w:sz w:val="24"/>
          <w:szCs w:val="24"/>
        </w:rPr>
        <w:t xml:space="preserve"> має велику кількість органів, уповноважених збирати дані від держав-членів, оцінювати </w:t>
      </w:r>
      <w:r>
        <w:rPr>
          <w:rFonts w:ascii="Times New Roman" w:hAnsi="Times New Roman" w:cs="Times New Roman"/>
          <w:sz w:val="24"/>
          <w:szCs w:val="24"/>
        </w:rPr>
        <w:t>дотримання ними загальних зобов’</w:t>
      </w:r>
      <w:r w:rsidRPr="000B2823">
        <w:rPr>
          <w:rFonts w:ascii="Times New Roman" w:hAnsi="Times New Roman" w:cs="Times New Roman"/>
          <w:sz w:val="24"/>
          <w:szCs w:val="24"/>
        </w:rPr>
        <w:t xml:space="preserve">язань та </w:t>
      </w:r>
      <w:r w:rsidR="00FC0148">
        <w:rPr>
          <w:rFonts w:ascii="Times New Roman" w:hAnsi="Times New Roman" w:cs="Times New Roman"/>
          <w:sz w:val="24"/>
          <w:szCs w:val="24"/>
        </w:rPr>
        <w:t>спеціальних</w:t>
      </w:r>
      <w:r w:rsidRPr="000B2823">
        <w:rPr>
          <w:rFonts w:ascii="Times New Roman" w:hAnsi="Times New Roman" w:cs="Times New Roman"/>
          <w:sz w:val="24"/>
          <w:szCs w:val="24"/>
        </w:rPr>
        <w:t xml:space="preserve"> або </w:t>
      </w:r>
      <w:r>
        <w:rPr>
          <w:rFonts w:ascii="Times New Roman" w:hAnsi="Times New Roman" w:cs="Times New Roman"/>
          <w:sz w:val="24"/>
          <w:szCs w:val="24"/>
        </w:rPr>
        <w:t>договірних зобов’</w:t>
      </w:r>
      <w:r w:rsidRPr="000B2823">
        <w:rPr>
          <w:rFonts w:ascii="Times New Roman" w:hAnsi="Times New Roman" w:cs="Times New Roman"/>
          <w:sz w:val="24"/>
          <w:szCs w:val="24"/>
        </w:rPr>
        <w:t>язань</w:t>
      </w:r>
      <w:r>
        <w:rPr>
          <w:rFonts w:ascii="Times New Roman" w:hAnsi="Times New Roman" w:cs="Times New Roman"/>
          <w:sz w:val="24"/>
          <w:szCs w:val="24"/>
        </w:rPr>
        <w:t xml:space="preserve">, а також формулювати </w:t>
      </w:r>
      <w:r w:rsidR="009E5B79">
        <w:rPr>
          <w:rFonts w:ascii="Times New Roman" w:hAnsi="Times New Roman" w:cs="Times New Roman"/>
          <w:sz w:val="24"/>
          <w:szCs w:val="24"/>
        </w:rPr>
        <w:t>до</w:t>
      </w:r>
      <w:r w:rsidR="009E5B79" w:rsidRPr="000B2823">
        <w:rPr>
          <w:rFonts w:ascii="Times New Roman" w:hAnsi="Times New Roman" w:cs="Times New Roman"/>
          <w:sz w:val="24"/>
          <w:szCs w:val="24"/>
        </w:rPr>
        <w:t xml:space="preserve"> уваги держав-членів</w:t>
      </w:r>
      <w:r w:rsidR="009E5B79">
        <w:rPr>
          <w:rFonts w:ascii="Times New Roman" w:hAnsi="Times New Roman" w:cs="Times New Roman"/>
          <w:sz w:val="24"/>
          <w:szCs w:val="24"/>
        </w:rPr>
        <w:t xml:space="preserve"> спостереження</w:t>
      </w:r>
      <w:r w:rsidRPr="000B2823">
        <w:rPr>
          <w:rFonts w:ascii="Times New Roman" w:hAnsi="Times New Roman" w:cs="Times New Roman"/>
          <w:sz w:val="24"/>
          <w:szCs w:val="24"/>
        </w:rPr>
        <w:t xml:space="preserve"> та рекомендації щодо демократичного врядування, верхо</w:t>
      </w:r>
      <w:r>
        <w:rPr>
          <w:rFonts w:ascii="Times New Roman" w:hAnsi="Times New Roman" w:cs="Times New Roman"/>
          <w:sz w:val="24"/>
          <w:szCs w:val="24"/>
        </w:rPr>
        <w:t>венства права та прав людини</w:t>
      </w:r>
      <w:r w:rsidRPr="000B2823">
        <w:rPr>
          <w:rFonts w:ascii="Times New Roman" w:hAnsi="Times New Roman" w:cs="Times New Roman"/>
          <w:sz w:val="24"/>
          <w:szCs w:val="24"/>
        </w:rPr>
        <w:t xml:space="preserve">. Асамблея відзначає, що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E5B79">
        <w:rPr>
          <w:rFonts w:ascii="Times New Roman" w:hAnsi="Times New Roman" w:cs="Times New Roman"/>
          <w:sz w:val="24"/>
          <w:szCs w:val="24"/>
        </w:rPr>
        <w:t xml:space="preserve">ада 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E5B79">
        <w:rPr>
          <w:rFonts w:ascii="Times New Roman" w:hAnsi="Times New Roman" w:cs="Times New Roman"/>
          <w:sz w:val="24"/>
          <w:szCs w:val="24"/>
        </w:rPr>
        <w:t>вропи</w:t>
      </w:r>
      <w:r w:rsidRPr="000B2823">
        <w:rPr>
          <w:rFonts w:ascii="Times New Roman" w:hAnsi="Times New Roman" w:cs="Times New Roman"/>
          <w:sz w:val="24"/>
          <w:szCs w:val="24"/>
        </w:rPr>
        <w:t xml:space="preserve"> діє як партнер 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E5B79">
        <w:rPr>
          <w:rFonts w:ascii="Times New Roman" w:hAnsi="Times New Roman" w:cs="Times New Roman"/>
          <w:sz w:val="24"/>
          <w:szCs w:val="24"/>
        </w:rPr>
        <w:t xml:space="preserve">вропейського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E5B79">
        <w:rPr>
          <w:rFonts w:ascii="Times New Roman" w:hAnsi="Times New Roman" w:cs="Times New Roman"/>
          <w:sz w:val="24"/>
          <w:szCs w:val="24"/>
        </w:rPr>
        <w:t>оюзу</w:t>
      </w:r>
      <w:r w:rsidRPr="000B2823">
        <w:rPr>
          <w:rFonts w:ascii="Times New Roman" w:hAnsi="Times New Roman" w:cs="Times New Roman"/>
          <w:sz w:val="24"/>
          <w:szCs w:val="24"/>
        </w:rPr>
        <w:t xml:space="preserve">, забезпечуючи </w:t>
      </w:r>
      <w:r w:rsidR="009E5B79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 xml:space="preserve"> для процесу прийняття ним рішень</w:t>
      </w:r>
      <w:r w:rsidRPr="000B2823">
        <w:rPr>
          <w:rFonts w:ascii="Times New Roman" w:hAnsi="Times New Roman" w:cs="Times New Roman"/>
          <w:sz w:val="24"/>
          <w:szCs w:val="24"/>
        </w:rPr>
        <w:t xml:space="preserve"> щодо країн, які також є державами-членами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E5B79">
        <w:rPr>
          <w:rFonts w:ascii="Times New Roman" w:hAnsi="Times New Roman" w:cs="Times New Roman"/>
          <w:sz w:val="24"/>
          <w:szCs w:val="24"/>
        </w:rPr>
        <w:t xml:space="preserve">ади 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E5B79">
        <w:rPr>
          <w:rFonts w:ascii="Times New Roman" w:hAnsi="Times New Roman" w:cs="Times New Roman"/>
          <w:sz w:val="24"/>
          <w:szCs w:val="24"/>
        </w:rPr>
        <w:t>вропи</w:t>
      </w:r>
      <w:r w:rsidRPr="000B2823">
        <w:rPr>
          <w:rFonts w:ascii="Times New Roman" w:hAnsi="Times New Roman" w:cs="Times New Roman"/>
          <w:sz w:val="24"/>
          <w:szCs w:val="24"/>
        </w:rPr>
        <w:t xml:space="preserve">. Внесок </w:t>
      </w: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9E5B79">
        <w:rPr>
          <w:rFonts w:ascii="Times New Roman" w:hAnsi="Times New Roman" w:cs="Times New Roman"/>
          <w:sz w:val="24"/>
          <w:szCs w:val="24"/>
        </w:rPr>
        <w:t xml:space="preserve">ади 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E5B79">
        <w:rPr>
          <w:rFonts w:ascii="Times New Roman" w:hAnsi="Times New Roman" w:cs="Times New Roman"/>
          <w:sz w:val="24"/>
          <w:szCs w:val="24"/>
        </w:rPr>
        <w:t>вропи</w:t>
      </w:r>
      <w:r w:rsidRPr="000B2823">
        <w:rPr>
          <w:rFonts w:ascii="Times New Roman" w:hAnsi="Times New Roman" w:cs="Times New Roman"/>
          <w:sz w:val="24"/>
          <w:szCs w:val="24"/>
        </w:rPr>
        <w:t xml:space="preserve"> в поточні ініціативи 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E5B79">
        <w:rPr>
          <w:rFonts w:ascii="Times New Roman" w:hAnsi="Times New Roman" w:cs="Times New Roman"/>
          <w:sz w:val="24"/>
          <w:szCs w:val="24"/>
        </w:rPr>
        <w:t xml:space="preserve">вропейського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E5B79">
        <w:rPr>
          <w:rFonts w:ascii="Times New Roman" w:hAnsi="Times New Roman" w:cs="Times New Roman"/>
          <w:sz w:val="24"/>
          <w:szCs w:val="24"/>
        </w:rPr>
        <w:t>оюзу</w:t>
      </w:r>
      <w:r w:rsidRPr="000B2823">
        <w:rPr>
          <w:rFonts w:ascii="Times New Roman" w:hAnsi="Times New Roman" w:cs="Times New Roman"/>
          <w:sz w:val="24"/>
          <w:szCs w:val="24"/>
        </w:rPr>
        <w:t xml:space="preserve"> у сфері верховенства права, особливо у вигляді висновків Венеціанської комісії, вже довів свою значущість.</w:t>
      </w:r>
    </w:p>
    <w:p w:rsidR="00FE4FD3" w:rsidRDefault="00FE4FD3" w:rsidP="00FE4FD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2823" w:rsidRDefault="000B2823" w:rsidP="000B282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2823">
        <w:rPr>
          <w:rFonts w:ascii="Times New Roman" w:hAnsi="Times New Roman" w:cs="Times New Roman"/>
          <w:sz w:val="24"/>
          <w:szCs w:val="24"/>
        </w:rPr>
        <w:t xml:space="preserve">Асамблея нагадує, що з 1993 року </w:t>
      </w:r>
      <w:r>
        <w:rPr>
          <w:rFonts w:ascii="Times New Roman" w:hAnsi="Times New Roman" w:cs="Times New Roman"/>
          <w:sz w:val="24"/>
          <w:szCs w:val="24"/>
        </w:rPr>
        <w:t>передбачено процедуру моніторингу обов’язків і зобов’</w:t>
      </w:r>
      <w:r w:rsidRPr="000B2823">
        <w:rPr>
          <w:rFonts w:ascii="Times New Roman" w:hAnsi="Times New Roman" w:cs="Times New Roman"/>
          <w:sz w:val="24"/>
          <w:szCs w:val="24"/>
        </w:rPr>
        <w:t xml:space="preserve">язань, </w:t>
      </w:r>
      <w:r w:rsidR="00CD2970">
        <w:rPr>
          <w:rFonts w:ascii="Times New Roman" w:hAnsi="Times New Roman" w:cs="Times New Roman"/>
          <w:sz w:val="24"/>
          <w:szCs w:val="24"/>
        </w:rPr>
        <w:t>які державі-члени беруть на себе при вступі до</w:t>
      </w:r>
      <w:r w:rsidR="009E5B79">
        <w:rPr>
          <w:rFonts w:ascii="Times New Roman" w:hAnsi="Times New Roman" w:cs="Times New Roman"/>
          <w:sz w:val="24"/>
          <w:szCs w:val="24"/>
        </w:rPr>
        <w:t xml:space="preserve"> Ради Європи</w:t>
      </w:r>
      <w:r w:rsidRPr="000B2823">
        <w:rPr>
          <w:rFonts w:ascii="Times New Roman" w:hAnsi="Times New Roman" w:cs="Times New Roman"/>
          <w:sz w:val="24"/>
          <w:szCs w:val="24"/>
        </w:rPr>
        <w:t>, за виконання яких відповідає К</w:t>
      </w:r>
      <w:r w:rsidR="00CD2970">
        <w:rPr>
          <w:rFonts w:ascii="Times New Roman" w:hAnsi="Times New Roman" w:cs="Times New Roman"/>
          <w:sz w:val="24"/>
          <w:szCs w:val="24"/>
        </w:rPr>
        <w:t>омітет з питань дотримання обов’</w:t>
      </w:r>
      <w:r w:rsidRPr="000B2823">
        <w:rPr>
          <w:rFonts w:ascii="Times New Roman" w:hAnsi="Times New Roman" w:cs="Times New Roman"/>
          <w:sz w:val="24"/>
          <w:szCs w:val="24"/>
        </w:rPr>
        <w:t>язків і з</w:t>
      </w:r>
      <w:r w:rsidR="00CD2970">
        <w:rPr>
          <w:rFonts w:ascii="Times New Roman" w:hAnsi="Times New Roman" w:cs="Times New Roman"/>
          <w:sz w:val="24"/>
          <w:szCs w:val="24"/>
        </w:rPr>
        <w:t>обов’</w:t>
      </w:r>
      <w:r w:rsidRPr="000B2823">
        <w:rPr>
          <w:rFonts w:ascii="Times New Roman" w:hAnsi="Times New Roman" w:cs="Times New Roman"/>
          <w:sz w:val="24"/>
          <w:szCs w:val="24"/>
        </w:rPr>
        <w:t xml:space="preserve">язань державами-членами Ради Європи (Моніторинговий комітет). </w:t>
      </w:r>
      <w:r w:rsidR="009E5B79">
        <w:rPr>
          <w:rFonts w:ascii="Times New Roman" w:hAnsi="Times New Roman" w:cs="Times New Roman"/>
          <w:sz w:val="24"/>
          <w:szCs w:val="24"/>
        </w:rPr>
        <w:t>Ц</w:t>
      </w:r>
      <w:r w:rsidR="009E5B79" w:rsidRPr="000B2823">
        <w:rPr>
          <w:rFonts w:ascii="Times New Roman" w:hAnsi="Times New Roman" w:cs="Times New Roman"/>
          <w:sz w:val="24"/>
          <w:szCs w:val="24"/>
        </w:rPr>
        <w:t xml:space="preserve">ій процедурі можуть бути піддані </w:t>
      </w:r>
      <w:r w:rsidR="009E5B79">
        <w:rPr>
          <w:rFonts w:ascii="Times New Roman" w:hAnsi="Times New Roman" w:cs="Times New Roman"/>
          <w:sz w:val="24"/>
          <w:szCs w:val="24"/>
        </w:rPr>
        <w:t>в</w:t>
      </w:r>
      <w:r w:rsidRPr="000B2823">
        <w:rPr>
          <w:rFonts w:ascii="Times New Roman" w:hAnsi="Times New Roman" w:cs="Times New Roman"/>
          <w:sz w:val="24"/>
          <w:szCs w:val="24"/>
        </w:rPr>
        <w:t xml:space="preserve">сі держави-члени. </w:t>
      </w:r>
      <w:r w:rsidR="00CD2970">
        <w:rPr>
          <w:rFonts w:ascii="Times New Roman" w:hAnsi="Times New Roman" w:cs="Times New Roman"/>
          <w:sz w:val="24"/>
          <w:szCs w:val="24"/>
        </w:rPr>
        <w:t>Більш</w:t>
      </w:r>
      <w:r w:rsidRPr="000B2823">
        <w:rPr>
          <w:rFonts w:ascii="Times New Roman" w:hAnsi="Times New Roman" w:cs="Times New Roman"/>
          <w:sz w:val="24"/>
          <w:szCs w:val="24"/>
        </w:rPr>
        <w:t xml:space="preserve"> того, </w:t>
      </w:r>
      <w:r w:rsidR="00CD2970">
        <w:rPr>
          <w:rFonts w:ascii="Times New Roman" w:hAnsi="Times New Roman" w:cs="Times New Roman"/>
          <w:sz w:val="24"/>
          <w:szCs w:val="24"/>
        </w:rPr>
        <w:t>по завершенню</w:t>
      </w:r>
      <w:r w:rsidRPr="000B2823">
        <w:rPr>
          <w:rFonts w:ascii="Times New Roman" w:hAnsi="Times New Roman" w:cs="Times New Roman"/>
          <w:sz w:val="24"/>
          <w:szCs w:val="24"/>
        </w:rPr>
        <w:t xml:space="preserve"> моніторингової процедури</w:t>
      </w:r>
      <w:r w:rsidR="00CD2970">
        <w:rPr>
          <w:rFonts w:ascii="Times New Roman" w:hAnsi="Times New Roman" w:cs="Times New Roman"/>
          <w:sz w:val="24"/>
          <w:szCs w:val="24"/>
        </w:rPr>
        <w:t>,</w:t>
      </w:r>
      <w:r w:rsidRPr="000B2823">
        <w:rPr>
          <w:rFonts w:ascii="Times New Roman" w:hAnsi="Times New Roman" w:cs="Times New Roman"/>
          <w:sz w:val="24"/>
          <w:szCs w:val="24"/>
        </w:rPr>
        <w:t xml:space="preserve"> з відповідною державою проводиться </w:t>
      </w:r>
      <w:proofErr w:type="spellStart"/>
      <w:r w:rsidRPr="000B2823">
        <w:rPr>
          <w:rFonts w:ascii="Times New Roman" w:hAnsi="Times New Roman" w:cs="Times New Roman"/>
          <w:sz w:val="24"/>
          <w:szCs w:val="24"/>
        </w:rPr>
        <w:t>постмоніторинговий</w:t>
      </w:r>
      <w:proofErr w:type="spellEnd"/>
      <w:r w:rsidRPr="000B2823">
        <w:rPr>
          <w:rFonts w:ascii="Times New Roman" w:hAnsi="Times New Roman" w:cs="Times New Roman"/>
          <w:sz w:val="24"/>
          <w:szCs w:val="24"/>
        </w:rPr>
        <w:t xml:space="preserve"> діалог. Ця процедура дозволяє роз</w:t>
      </w:r>
      <w:r w:rsidR="00CD2970">
        <w:rPr>
          <w:rFonts w:ascii="Times New Roman" w:hAnsi="Times New Roman" w:cs="Times New Roman"/>
          <w:sz w:val="24"/>
          <w:szCs w:val="24"/>
        </w:rPr>
        <w:t>глянути питання, пов’</w:t>
      </w:r>
      <w:r w:rsidRPr="000B2823">
        <w:rPr>
          <w:rFonts w:ascii="Times New Roman" w:hAnsi="Times New Roman" w:cs="Times New Roman"/>
          <w:sz w:val="24"/>
          <w:szCs w:val="24"/>
        </w:rPr>
        <w:t xml:space="preserve">язані з функціонуванням демократичних </w:t>
      </w:r>
      <w:r w:rsidR="00CD2970">
        <w:rPr>
          <w:rFonts w:ascii="Times New Roman" w:hAnsi="Times New Roman" w:cs="Times New Roman"/>
          <w:sz w:val="24"/>
          <w:szCs w:val="24"/>
        </w:rPr>
        <w:t>установ</w:t>
      </w:r>
      <w:r w:rsidRPr="000B2823">
        <w:rPr>
          <w:rFonts w:ascii="Times New Roman" w:hAnsi="Times New Roman" w:cs="Times New Roman"/>
          <w:sz w:val="24"/>
          <w:szCs w:val="24"/>
        </w:rPr>
        <w:t xml:space="preserve"> у державах-членах. Нарешті, в</w:t>
      </w:r>
      <w:r w:rsidR="00CD2970">
        <w:rPr>
          <w:rFonts w:ascii="Times New Roman" w:hAnsi="Times New Roman" w:cs="Times New Roman"/>
          <w:sz w:val="24"/>
          <w:szCs w:val="24"/>
        </w:rPr>
        <w:t>она забезпечує дотримання зобов’</w:t>
      </w:r>
      <w:r w:rsidRPr="000B2823">
        <w:rPr>
          <w:rFonts w:ascii="Times New Roman" w:hAnsi="Times New Roman" w:cs="Times New Roman"/>
          <w:sz w:val="24"/>
          <w:szCs w:val="24"/>
        </w:rPr>
        <w:t>язань, взятих на себе державами-членами, які не є предметом конкретних моніторингових процедур, за допомогою періодичних оглядових звітів, що проводяться по кожній країні окремо.</w:t>
      </w:r>
    </w:p>
    <w:p w:rsidR="00FE4FD3" w:rsidRDefault="00FE4FD3" w:rsidP="00FE4FD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970" w:rsidRDefault="000B2823" w:rsidP="00CD2970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2823">
        <w:rPr>
          <w:rFonts w:ascii="Times New Roman" w:hAnsi="Times New Roman" w:cs="Times New Roman"/>
          <w:sz w:val="24"/>
          <w:szCs w:val="24"/>
        </w:rPr>
        <w:t xml:space="preserve">Асамблея запрошує </w:t>
      </w:r>
      <w:r w:rsidR="00CD2970">
        <w:rPr>
          <w:rFonts w:ascii="Times New Roman" w:hAnsi="Times New Roman" w:cs="Times New Roman"/>
          <w:sz w:val="24"/>
          <w:szCs w:val="24"/>
        </w:rPr>
        <w:t>Є</w:t>
      </w:r>
      <w:r w:rsidR="0064100F">
        <w:rPr>
          <w:rFonts w:ascii="Times New Roman" w:hAnsi="Times New Roman" w:cs="Times New Roman"/>
          <w:sz w:val="24"/>
          <w:szCs w:val="24"/>
        </w:rPr>
        <w:t xml:space="preserve">вропейський </w:t>
      </w:r>
      <w:r w:rsidR="00CD2970">
        <w:rPr>
          <w:rFonts w:ascii="Times New Roman" w:hAnsi="Times New Roman" w:cs="Times New Roman"/>
          <w:sz w:val="24"/>
          <w:szCs w:val="24"/>
        </w:rPr>
        <w:t>С</w:t>
      </w:r>
      <w:r w:rsidR="0064100F">
        <w:rPr>
          <w:rFonts w:ascii="Times New Roman" w:hAnsi="Times New Roman" w:cs="Times New Roman"/>
          <w:sz w:val="24"/>
          <w:szCs w:val="24"/>
        </w:rPr>
        <w:t>оюз</w:t>
      </w:r>
      <w:r w:rsidRPr="000B2823">
        <w:rPr>
          <w:rFonts w:ascii="Times New Roman" w:hAnsi="Times New Roman" w:cs="Times New Roman"/>
          <w:sz w:val="24"/>
          <w:szCs w:val="24"/>
        </w:rPr>
        <w:t xml:space="preserve"> </w:t>
      </w:r>
      <w:r w:rsidR="00CD2970">
        <w:rPr>
          <w:rFonts w:ascii="Times New Roman" w:hAnsi="Times New Roman" w:cs="Times New Roman"/>
          <w:sz w:val="24"/>
          <w:szCs w:val="24"/>
        </w:rPr>
        <w:t xml:space="preserve">за необхідності </w:t>
      </w:r>
      <w:r w:rsidRPr="000B2823">
        <w:rPr>
          <w:rFonts w:ascii="Times New Roman" w:hAnsi="Times New Roman" w:cs="Times New Roman"/>
          <w:sz w:val="24"/>
          <w:szCs w:val="24"/>
        </w:rPr>
        <w:t>звертатися до роботи Моніторингового комітету.</w:t>
      </w:r>
    </w:p>
    <w:p w:rsidR="00FE4FD3" w:rsidRDefault="00FE4FD3" w:rsidP="00FE4FD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970" w:rsidRDefault="00CD2970" w:rsidP="00CD2970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970">
        <w:rPr>
          <w:rFonts w:ascii="Times New Roman" w:hAnsi="Times New Roman" w:cs="Times New Roman"/>
          <w:sz w:val="24"/>
          <w:szCs w:val="24"/>
        </w:rPr>
        <w:t xml:space="preserve">Асамблея повинна забезпечити, щоб її власна відповідна робота також була джерелом для </w:t>
      </w:r>
      <w:r>
        <w:rPr>
          <w:rFonts w:ascii="Times New Roman" w:hAnsi="Times New Roman" w:cs="Times New Roman"/>
          <w:sz w:val="24"/>
          <w:szCs w:val="24"/>
        </w:rPr>
        <w:t>Є</w:t>
      </w:r>
      <w:r w:rsidR="0064100F">
        <w:rPr>
          <w:rFonts w:ascii="Times New Roman" w:hAnsi="Times New Roman" w:cs="Times New Roman"/>
          <w:sz w:val="24"/>
          <w:szCs w:val="24"/>
        </w:rPr>
        <w:t xml:space="preserve">вропейського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4100F">
        <w:rPr>
          <w:rFonts w:ascii="Times New Roman" w:hAnsi="Times New Roman" w:cs="Times New Roman"/>
          <w:sz w:val="24"/>
          <w:szCs w:val="24"/>
        </w:rPr>
        <w:t>оюзу</w:t>
      </w:r>
      <w:r w:rsidRPr="00CD2970">
        <w:rPr>
          <w:rFonts w:ascii="Times New Roman" w:hAnsi="Times New Roman" w:cs="Times New Roman"/>
          <w:sz w:val="24"/>
          <w:szCs w:val="24"/>
        </w:rPr>
        <w:t xml:space="preserve"> в рамках його різних існуючих процедур або ініціатив у сфері верховенства права, включаючи роботу Моніторингового комітету Асамблеї та відповідну роботу її загальних комітетів, зокрема, висновки та рекомендації щодо конкретних країн, які містяться в тематичних зв</w:t>
      </w:r>
      <w:r>
        <w:rPr>
          <w:rFonts w:ascii="Times New Roman" w:hAnsi="Times New Roman" w:cs="Times New Roman"/>
          <w:sz w:val="24"/>
          <w:szCs w:val="24"/>
        </w:rPr>
        <w:t>ітах та резолюціях по конкретних країнах</w:t>
      </w:r>
      <w:r w:rsidRPr="00CD2970">
        <w:rPr>
          <w:rFonts w:ascii="Times New Roman" w:hAnsi="Times New Roman" w:cs="Times New Roman"/>
          <w:sz w:val="24"/>
          <w:szCs w:val="24"/>
        </w:rPr>
        <w:t>.</w:t>
      </w:r>
    </w:p>
    <w:p w:rsidR="00FE4FD3" w:rsidRDefault="00FE4FD3" w:rsidP="00FE4FD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11A" w:rsidRDefault="00CD2970" w:rsidP="0026611A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970">
        <w:rPr>
          <w:rFonts w:ascii="Times New Roman" w:hAnsi="Times New Roman" w:cs="Times New Roman"/>
          <w:sz w:val="24"/>
          <w:szCs w:val="24"/>
        </w:rPr>
        <w:t xml:space="preserve">Асамблея визнає, що співпраця, встановлена між </w:t>
      </w:r>
      <w:r>
        <w:rPr>
          <w:rFonts w:ascii="Times New Roman" w:hAnsi="Times New Roman" w:cs="Times New Roman"/>
          <w:sz w:val="24"/>
          <w:szCs w:val="24"/>
        </w:rPr>
        <w:t>Радою Європи</w:t>
      </w:r>
      <w:r w:rsidRPr="00CD2970">
        <w:rPr>
          <w:rFonts w:ascii="Times New Roman" w:hAnsi="Times New Roman" w:cs="Times New Roman"/>
          <w:sz w:val="24"/>
          <w:szCs w:val="24"/>
        </w:rPr>
        <w:t xml:space="preserve"> та інституціями та агентствами Європейського Союзу, зокрема Агентством з </w:t>
      </w:r>
      <w:r w:rsidR="0026611A">
        <w:rPr>
          <w:rFonts w:ascii="Times New Roman" w:hAnsi="Times New Roman" w:cs="Times New Roman"/>
          <w:sz w:val="24"/>
          <w:szCs w:val="24"/>
        </w:rPr>
        <w:t>основних</w:t>
      </w:r>
      <w:r w:rsidRPr="00CD2970">
        <w:rPr>
          <w:rFonts w:ascii="Times New Roman" w:hAnsi="Times New Roman" w:cs="Times New Roman"/>
          <w:sz w:val="24"/>
          <w:szCs w:val="24"/>
        </w:rPr>
        <w:t xml:space="preserve"> прав, була </w:t>
      </w:r>
      <w:r w:rsidR="0026611A">
        <w:rPr>
          <w:rFonts w:ascii="Times New Roman" w:hAnsi="Times New Roman" w:cs="Times New Roman"/>
          <w:sz w:val="24"/>
          <w:szCs w:val="24"/>
        </w:rPr>
        <w:t>плідною</w:t>
      </w:r>
      <w:r w:rsidRPr="00CD2970">
        <w:rPr>
          <w:rFonts w:ascii="Times New Roman" w:hAnsi="Times New Roman" w:cs="Times New Roman"/>
          <w:sz w:val="24"/>
          <w:szCs w:val="24"/>
        </w:rPr>
        <w:t xml:space="preserve"> і зміцнила </w:t>
      </w:r>
      <w:r w:rsidR="0064100F">
        <w:rPr>
          <w:rFonts w:ascii="Times New Roman" w:hAnsi="Times New Roman" w:cs="Times New Roman"/>
          <w:sz w:val="24"/>
          <w:szCs w:val="24"/>
        </w:rPr>
        <w:t>під</w:t>
      </w:r>
      <w:r w:rsidR="0064100F" w:rsidRPr="0064100F">
        <w:rPr>
          <w:rFonts w:ascii="Times New Roman" w:hAnsi="Times New Roman" w:cs="Times New Roman"/>
          <w:sz w:val="24"/>
          <w:szCs w:val="24"/>
        </w:rPr>
        <w:t>ґ</w:t>
      </w:r>
      <w:r w:rsidR="0064100F">
        <w:rPr>
          <w:rFonts w:ascii="Times New Roman" w:hAnsi="Times New Roman" w:cs="Times New Roman"/>
          <w:sz w:val="24"/>
          <w:szCs w:val="24"/>
        </w:rPr>
        <w:t>рунтя</w:t>
      </w:r>
      <w:r w:rsidRPr="00CD2970">
        <w:rPr>
          <w:rFonts w:ascii="Times New Roman" w:hAnsi="Times New Roman" w:cs="Times New Roman"/>
          <w:sz w:val="24"/>
          <w:szCs w:val="24"/>
        </w:rPr>
        <w:t xml:space="preserve"> </w:t>
      </w:r>
      <w:r w:rsidR="004F7883">
        <w:rPr>
          <w:rFonts w:ascii="Times New Roman" w:hAnsi="Times New Roman" w:cs="Times New Roman"/>
          <w:sz w:val="24"/>
          <w:szCs w:val="24"/>
        </w:rPr>
        <w:t xml:space="preserve">в межах Європи </w:t>
      </w:r>
      <w:r w:rsidRPr="00CD2970">
        <w:rPr>
          <w:rFonts w:ascii="Times New Roman" w:hAnsi="Times New Roman" w:cs="Times New Roman"/>
          <w:sz w:val="24"/>
          <w:szCs w:val="24"/>
        </w:rPr>
        <w:t xml:space="preserve">для просування </w:t>
      </w:r>
      <w:r w:rsidR="0026611A">
        <w:rPr>
          <w:rFonts w:ascii="Times New Roman" w:hAnsi="Times New Roman" w:cs="Times New Roman"/>
          <w:sz w:val="24"/>
          <w:szCs w:val="24"/>
        </w:rPr>
        <w:t>основоположних</w:t>
      </w:r>
      <w:r w:rsidR="004F7883">
        <w:rPr>
          <w:rFonts w:ascii="Times New Roman" w:hAnsi="Times New Roman" w:cs="Times New Roman"/>
          <w:sz w:val="24"/>
          <w:szCs w:val="24"/>
        </w:rPr>
        <w:t xml:space="preserve"> прав і для взаємної довіри</w:t>
      </w:r>
      <w:r w:rsidRPr="00CD2970">
        <w:rPr>
          <w:rFonts w:ascii="Times New Roman" w:hAnsi="Times New Roman" w:cs="Times New Roman"/>
          <w:sz w:val="24"/>
          <w:szCs w:val="24"/>
        </w:rPr>
        <w:t xml:space="preserve">, на якій </w:t>
      </w:r>
      <w:r w:rsidR="0026611A">
        <w:rPr>
          <w:rFonts w:ascii="Times New Roman" w:hAnsi="Times New Roman" w:cs="Times New Roman"/>
          <w:sz w:val="24"/>
          <w:szCs w:val="24"/>
        </w:rPr>
        <w:t xml:space="preserve">і </w:t>
      </w:r>
      <w:r w:rsidRPr="00CD2970">
        <w:rPr>
          <w:rFonts w:ascii="Times New Roman" w:hAnsi="Times New Roman" w:cs="Times New Roman"/>
          <w:sz w:val="24"/>
          <w:szCs w:val="24"/>
        </w:rPr>
        <w:t>ґрунтується співпраця між європейськими державами.</w:t>
      </w:r>
    </w:p>
    <w:p w:rsidR="00FE4FD3" w:rsidRDefault="00FE4FD3" w:rsidP="00FE4FD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11A" w:rsidRDefault="0026611A" w:rsidP="0026611A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11A">
        <w:rPr>
          <w:rFonts w:ascii="Times New Roman" w:hAnsi="Times New Roman" w:cs="Times New Roman"/>
          <w:sz w:val="24"/>
          <w:szCs w:val="24"/>
        </w:rPr>
        <w:t>У відповідь на зростаюче занепокоєння в Європейському Союзі щодо дефіциту демократії в деяких його державах-членах</w:t>
      </w:r>
      <w:r w:rsidR="004F7883">
        <w:rPr>
          <w:rFonts w:ascii="Times New Roman" w:hAnsi="Times New Roman" w:cs="Times New Roman"/>
          <w:sz w:val="24"/>
          <w:szCs w:val="24"/>
        </w:rPr>
        <w:t>, було запущено</w:t>
      </w:r>
      <w:r w:rsidRPr="0026611A">
        <w:rPr>
          <w:rFonts w:ascii="Times New Roman" w:hAnsi="Times New Roman" w:cs="Times New Roman"/>
          <w:sz w:val="24"/>
          <w:szCs w:val="24"/>
        </w:rPr>
        <w:t xml:space="preserve"> деякі механізми </w:t>
      </w:r>
      <w:r w:rsidR="004F7883">
        <w:rPr>
          <w:rFonts w:ascii="Times New Roman" w:hAnsi="Times New Roman" w:cs="Times New Roman"/>
          <w:sz w:val="24"/>
          <w:szCs w:val="24"/>
        </w:rPr>
        <w:t xml:space="preserve">з </w:t>
      </w:r>
      <w:r w:rsidRPr="0026611A">
        <w:rPr>
          <w:rFonts w:ascii="Times New Roman" w:hAnsi="Times New Roman" w:cs="Times New Roman"/>
          <w:sz w:val="24"/>
          <w:szCs w:val="24"/>
        </w:rPr>
        <w:t xml:space="preserve">моніторингу верховенства права в Європейському Союзі та інші ініціативи, спрямовані на </w:t>
      </w:r>
      <w:r w:rsidR="004F7883">
        <w:rPr>
          <w:rFonts w:ascii="Times New Roman" w:hAnsi="Times New Roman" w:cs="Times New Roman"/>
          <w:sz w:val="24"/>
          <w:szCs w:val="24"/>
        </w:rPr>
        <w:t xml:space="preserve">дослідження </w:t>
      </w:r>
      <w:r w:rsidRPr="0026611A">
        <w:rPr>
          <w:rFonts w:ascii="Times New Roman" w:hAnsi="Times New Roman" w:cs="Times New Roman"/>
          <w:sz w:val="24"/>
          <w:szCs w:val="24"/>
        </w:rPr>
        <w:t xml:space="preserve">дотримання верховенства права, за участю різних інституцій Європейського Союзу та на основі різних парадигм, які </w:t>
      </w:r>
      <w:r>
        <w:rPr>
          <w:rFonts w:ascii="Times New Roman" w:hAnsi="Times New Roman" w:cs="Times New Roman"/>
          <w:sz w:val="24"/>
          <w:szCs w:val="24"/>
        </w:rPr>
        <w:t>різняться</w:t>
      </w:r>
      <w:r w:rsidRPr="0026611A">
        <w:rPr>
          <w:rFonts w:ascii="Times New Roman" w:hAnsi="Times New Roman" w:cs="Times New Roman"/>
          <w:sz w:val="24"/>
          <w:szCs w:val="24"/>
        </w:rPr>
        <w:t xml:space="preserve"> за своєю природою та примусовим впливом.</w:t>
      </w:r>
    </w:p>
    <w:p w:rsidR="00FE4FD3" w:rsidRDefault="00FE4FD3" w:rsidP="00FE4FD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6E8C" w:rsidRDefault="0026611A" w:rsidP="001B6E8C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11A">
        <w:rPr>
          <w:rFonts w:ascii="Times New Roman" w:hAnsi="Times New Roman" w:cs="Times New Roman"/>
          <w:sz w:val="24"/>
          <w:szCs w:val="24"/>
        </w:rPr>
        <w:t>У відповідь на попередні ініціативи Європейського Союзу щодо створення механізмів моніторингу дотримання верховенства права або прав людини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611A">
        <w:rPr>
          <w:rFonts w:ascii="Times New Roman" w:hAnsi="Times New Roman" w:cs="Times New Roman"/>
          <w:sz w:val="24"/>
          <w:szCs w:val="24"/>
        </w:rPr>
        <w:t xml:space="preserve"> Асамблея часто висловлювала застереження і наголошувала на ризиках дублювання механізмів і стандартів, фрагментації або неузгодженості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 w:rsidR="001B6E8C">
        <w:rPr>
          <w:rFonts w:ascii="Times New Roman" w:hAnsi="Times New Roman" w:cs="Times New Roman"/>
          <w:sz w:val="24"/>
          <w:szCs w:val="24"/>
        </w:rPr>
        <w:t>непослідовності</w:t>
      </w:r>
      <w:r>
        <w:rPr>
          <w:rFonts w:ascii="Times New Roman" w:hAnsi="Times New Roman" w:cs="Times New Roman"/>
          <w:sz w:val="24"/>
          <w:szCs w:val="24"/>
        </w:rPr>
        <w:t xml:space="preserve"> застосовних стандартів і «</w:t>
      </w:r>
      <w:r w:rsidR="0022048E">
        <w:rPr>
          <w:rFonts w:ascii="Times New Roman" w:hAnsi="Times New Roman" w:cs="Times New Roman"/>
          <w:sz w:val="24"/>
          <w:szCs w:val="24"/>
        </w:rPr>
        <w:t>пошуку зручної юрисдикції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611A">
        <w:rPr>
          <w:rFonts w:ascii="Times New Roman" w:hAnsi="Times New Roman" w:cs="Times New Roman"/>
          <w:sz w:val="24"/>
          <w:szCs w:val="24"/>
        </w:rPr>
        <w:t xml:space="preserve">, а також на ризиках марнування обмежених бюджетних ресурсів, коли такий механізм вже </w:t>
      </w:r>
      <w:r w:rsidR="001B6E8C">
        <w:rPr>
          <w:rFonts w:ascii="Times New Roman" w:hAnsi="Times New Roman" w:cs="Times New Roman"/>
          <w:sz w:val="24"/>
          <w:szCs w:val="24"/>
        </w:rPr>
        <w:t>існує в рамках Ради Європи. Таким чином,</w:t>
      </w:r>
      <w:r w:rsidRPr="0026611A">
        <w:rPr>
          <w:rFonts w:ascii="Times New Roman" w:hAnsi="Times New Roman" w:cs="Times New Roman"/>
          <w:sz w:val="24"/>
          <w:szCs w:val="24"/>
        </w:rPr>
        <w:t xml:space="preserve"> </w:t>
      </w:r>
      <w:r w:rsidR="001B6E8C">
        <w:rPr>
          <w:rFonts w:ascii="Times New Roman" w:hAnsi="Times New Roman" w:cs="Times New Roman"/>
          <w:sz w:val="24"/>
          <w:szCs w:val="24"/>
        </w:rPr>
        <w:t>Асамблея</w:t>
      </w:r>
      <w:r w:rsidRPr="0026611A">
        <w:rPr>
          <w:rFonts w:ascii="Times New Roman" w:hAnsi="Times New Roman" w:cs="Times New Roman"/>
          <w:sz w:val="24"/>
          <w:szCs w:val="24"/>
        </w:rPr>
        <w:t xml:space="preserve"> вважає за необхідне зберегти першість Ради Європи в оцін</w:t>
      </w:r>
      <w:r w:rsidR="001B6E8C">
        <w:rPr>
          <w:rFonts w:ascii="Times New Roman" w:hAnsi="Times New Roman" w:cs="Times New Roman"/>
          <w:sz w:val="24"/>
          <w:szCs w:val="24"/>
        </w:rPr>
        <w:t>юванні</w:t>
      </w:r>
      <w:r w:rsidRPr="0026611A">
        <w:rPr>
          <w:rFonts w:ascii="Times New Roman" w:hAnsi="Times New Roman" w:cs="Times New Roman"/>
          <w:sz w:val="24"/>
          <w:szCs w:val="24"/>
        </w:rPr>
        <w:t xml:space="preserve"> дотримання державами-членами Європейського Союзу, а також державами, які не є членами Європейського Союзу, спільних </w:t>
      </w:r>
      <w:r w:rsidR="004F7883">
        <w:rPr>
          <w:rFonts w:ascii="Times New Roman" w:hAnsi="Times New Roman" w:cs="Times New Roman"/>
          <w:sz w:val="24"/>
          <w:szCs w:val="24"/>
        </w:rPr>
        <w:t>основних</w:t>
      </w:r>
      <w:r w:rsidRPr="0026611A">
        <w:rPr>
          <w:rFonts w:ascii="Times New Roman" w:hAnsi="Times New Roman" w:cs="Times New Roman"/>
          <w:sz w:val="24"/>
          <w:szCs w:val="24"/>
        </w:rPr>
        <w:t xml:space="preserve"> цінностей.</w:t>
      </w:r>
    </w:p>
    <w:p w:rsidR="00FE4FD3" w:rsidRDefault="00FE4FD3" w:rsidP="00FE4FD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6E8C" w:rsidRDefault="001B6E8C" w:rsidP="001B6E8C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6E8C">
        <w:rPr>
          <w:rFonts w:ascii="Times New Roman" w:hAnsi="Times New Roman" w:cs="Times New Roman"/>
          <w:sz w:val="24"/>
          <w:szCs w:val="24"/>
        </w:rPr>
        <w:t xml:space="preserve">Асамблея також нагадує, що чинні </w:t>
      </w:r>
      <w:r w:rsidR="007E0574">
        <w:rPr>
          <w:rFonts w:ascii="Times New Roman" w:hAnsi="Times New Roman" w:cs="Times New Roman"/>
          <w:sz w:val="24"/>
          <w:szCs w:val="24"/>
        </w:rPr>
        <w:t xml:space="preserve">моніторингові </w:t>
      </w:r>
      <w:r w:rsidRPr="001B6E8C">
        <w:rPr>
          <w:rFonts w:ascii="Times New Roman" w:hAnsi="Times New Roman" w:cs="Times New Roman"/>
          <w:sz w:val="24"/>
          <w:szCs w:val="24"/>
        </w:rPr>
        <w:t>процедури, сп</w:t>
      </w:r>
      <w:r>
        <w:rPr>
          <w:rFonts w:ascii="Times New Roman" w:hAnsi="Times New Roman" w:cs="Times New Roman"/>
          <w:sz w:val="24"/>
          <w:szCs w:val="24"/>
        </w:rPr>
        <w:t>рямовані на підтримання</w:t>
      </w:r>
      <w:r w:rsidRPr="001B6E8C">
        <w:rPr>
          <w:rFonts w:ascii="Times New Roman" w:hAnsi="Times New Roman" w:cs="Times New Roman"/>
          <w:sz w:val="24"/>
          <w:szCs w:val="24"/>
        </w:rPr>
        <w:t xml:space="preserve"> цінностей прав людини, верховенства права та демократії, встановлені Радою Європи або Європейським Союзом, спираються на співпрацю з національними ор</w:t>
      </w:r>
      <w:r>
        <w:rPr>
          <w:rFonts w:ascii="Times New Roman" w:hAnsi="Times New Roman" w:cs="Times New Roman"/>
          <w:sz w:val="24"/>
          <w:szCs w:val="24"/>
        </w:rPr>
        <w:t>ганами влади та установами. Таким чином,</w:t>
      </w:r>
      <w:r w:rsidRPr="001B6E8C">
        <w:rPr>
          <w:rFonts w:ascii="Times New Roman" w:hAnsi="Times New Roman" w:cs="Times New Roman"/>
          <w:sz w:val="24"/>
          <w:szCs w:val="24"/>
        </w:rPr>
        <w:t xml:space="preserve"> Асамблея висловлює занепокоєння </w:t>
      </w:r>
      <w:r>
        <w:rPr>
          <w:rFonts w:ascii="Times New Roman" w:hAnsi="Times New Roman" w:cs="Times New Roman"/>
          <w:sz w:val="24"/>
          <w:szCs w:val="24"/>
        </w:rPr>
        <w:t>з приводу того</w:t>
      </w:r>
      <w:r w:rsidRPr="001B6E8C">
        <w:rPr>
          <w:rFonts w:ascii="Times New Roman" w:hAnsi="Times New Roman" w:cs="Times New Roman"/>
          <w:sz w:val="24"/>
          <w:szCs w:val="24"/>
        </w:rPr>
        <w:t>, що</w:t>
      </w:r>
      <w:r w:rsidR="00780465">
        <w:rPr>
          <w:rFonts w:ascii="Times New Roman" w:hAnsi="Times New Roman" w:cs="Times New Roman"/>
          <w:sz w:val="24"/>
          <w:szCs w:val="24"/>
        </w:rPr>
        <w:t>,</w:t>
      </w:r>
      <w:r w:rsidRPr="001B6E8C">
        <w:rPr>
          <w:rFonts w:ascii="Times New Roman" w:hAnsi="Times New Roman" w:cs="Times New Roman"/>
          <w:sz w:val="24"/>
          <w:szCs w:val="24"/>
        </w:rPr>
        <w:t xml:space="preserve"> з точки зору національних органів влади</w:t>
      </w:r>
      <w:r w:rsidR="00780465">
        <w:rPr>
          <w:rFonts w:ascii="Times New Roman" w:hAnsi="Times New Roman" w:cs="Times New Roman"/>
          <w:sz w:val="24"/>
          <w:szCs w:val="24"/>
        </w:rPr>
        <w:t>,</w:t>
      </w:r>
      <w:r w:rsidRPr="001B6E8C">
        <w:rPr>
          <w:rFonts w:ascii="Times New Roman" w:hAnsi="Times New Roman" w:cs="Times New Roman"/>
          <w:sz w:val="24"/>
          <w:szCs w:val="24"/>
        </w:rPr>
        <w:t xml:space="preserve"> численні рекомендації, надані різними </w:t>
      </w:r>
      <w:r w:rsidRPr="001B6E8C">
        <w:rPr>
          <w:rFonts w:ascii="Times New Roman" w:hAnsi="Times New Roman" w:cs="Times New Roman"/>
          <w:sz w:val="24"/>
          <w:szCs w:val="24"/>
        </w:rPr>
        <w:lastRenderedPageBreak/>
        <w:t xml:space="preserve">європейськими органами, можуть призвести до </w:t>
      </w:r>
      <w:r w:rsidR="00780465">
        <w:rPr>
          <w:rFonts w:ascii="Times New Roman" w:hAnsi="Times New Roman" w:cs="Times New Roman"/>
          <w:sz w:val="24"/>
          <w:szCs w:val="24"/>
        </w:rPr>
        <w:t>«</w:t>
      </w:r>
      <w:r w:rsidRPr="001B6E8C">
        <w:rPr>
          <w:rFonts w:ascii="Times New Roman" w:hAnsi="Times New Roman" w:cs="Times New Roman"/>
          <w:sz w:val="24"/>
          <w:szCs w:val="24"/>
        </w:rPr>
        <w:t>інституційної втоми</w:t>
      </w:r>
      <w:r w:rsidR="00780465">
        <w:rPr>
          <w:rFonts w:ascii="Times New Roman" w:hAnsi="Times New Roman" w:cs="Times New Roman"/>
          <w:sz w:val="24"/>
          <w:szCs w:val="24"/>
        </w:rPr>
        <w:t>»</w:t>
      </w:r>
      <w:r w:rsidRPr="001B6E8C">
        <w:rPr>
          <w:rFonts w:ascii="Times New Roman" w:hAnsi="Times New Roman" w:cs="Times New Roman"/>
          <w:sz w:val="24"/>
          <w:szCs w:val="24"/>
        </w:rPr>
        <w:t xml:space="preserve"> і поставити під загрозу здатність розробляти обґрунтовану державну політику.</w:t>
      </w:r>
    </w:p>
    <w:p w:rsidR="00FE4FD3" w:rsidRDefault="00FE4FD3" w:rsidP="00FE4FD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0465" w:rsidRDefault="001B6E8C" w:rsidP="00780465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6E8C">
        <w:rPr>
          <w:rFonts w:ascii="Times New Roman" w:hAnsi="Times New Roman" w:cs="Times New Roman"/>
          <w:sz w:val="24"/>
          <w:szCs w:val="24"/>
        </w:rPr>
        <w:t xml:space="preserve">Асамблея вважає, що Рада Європи та Європейський Союз </w:t>
      </w:r>
      <w:r w:rsidR="00780465">
        <w:rPr>
          <w:rFonts w:ascii="Times New Roman" w:hAnsi="Times New Roman" w:cs="Times New Roman"/>
          <w:sz w:val="24"/>
          <w:szCs w:val="24"/>
        </w:rPr>
        <w:t xml:space="preserve">проголосили </w:t>
      </w:r>
      <w:r w:rsidR="007E0574">
        <w:rPr>
          <w:rFonts w:ascii="Times New Roman" w:hAnsi="Times New Roman" w:cs="Times New Roman"/>
          <w:sz w:val="24"/>
          <w:szCs w:val="24"/>
        </w:rPr>
        <w:t>рішуче</w:t>
      </w:r>
      <w:r w:rsidR="00780465">
        <w:rPr>
          <w:rFonts w:ascii="Times New Roman" w:hAnsi="Times New Roman" w:cs="Times New Roman"/>
          <w:sz w:val="24"/>
          <w:szCs w:val="24"/>
        </w:rPr>
        <w:t xml:space="preserve"> політичне зобов’</w:t>
      </w:r>
      <w:r w:rsidRPr="001B6E8C">
        <w:rPr>
          <w:rFonts w:ascii="Times New Roman" w:hAnsi="Times New Roman" w:cs="Times New Roman"/>
          <w:sz w:val="24"/>
          <w:szCs w:val="24"/>
        </w:rPr>
        <w:t>язання щодо більш ефективного використання існуючих стандартів і процедур з метою створення сприят</w:t>
      </w:r>
      <w:r w:rsidR="00780465">
        <w:rPr>
          <w:rFonts w:ascii="Times New Roman" w:hAnsi="Times New Roman" w:cs="Times New Roman"/>
          <w:sz w:val="24"/>
          <w:szCs w:val="24"/>
        </w:rPr>
        <w:t>ливого середовища для ефективного</w:t>
      </w:r>
      <w:r w:rsidRPr="001B6E8C">
        <w:rPr>
          <w:rFonts w:ascii="Times New Roman" w:hAnsi="Times New Roman" w:cs="Times New Roman"/>
          <w:sz w:val="24"/>
          <w:szCs w:val="24"/>
        </w:rPr>
        <w:t xml:space="preserve"> </w:t>
      </w:r>
      <w:r w:rsidR="00780465">
        <w:rPr>
          <w:rFonts w:ascii="Times New Roman" w:hAnsi="Times New Roman" w:cs="Times New Roman"/>
          <w:sz w:val="24"/>
          <w:szCs w:val="24"/>
        </w:rPr>
        <w:t>користування</w:t>
      </w:r>
      <w:r w:rsidRPr="001B6E8C">
        <w:rPr>
          <w:rFonts w:ascii="Times New Roman" w:hAnsi="Times New Roman" w:cs="Times New Roman"/>
          <w:sz w:val="24"/>
          <w:szCs w:val="24"/>
        </w:rPr>
        <w:t xml:space="preserve"> прав</w:t>
      </w:r>
      <w:r w:rsidR="00780465">
        <w:rPr>
          <w:rFonts w:ascii="Times New Roman" w:hAnsi="Times New Roman" w:cs="Times New Roman"/>
          <w:sz w:val="24"/>
          <w:szCs w:val="24"/>
        </w:rPr>
        <w:t>ами</w:t>
      </w:r>
      <w:r w:rsidRPr="001B6E8C">
        <w:rPr>
          <w:rFonts w:ascii="Times New Roman" w:hAnsi="Times New Roman" w:cs="Times New Roman"/>
          <w:sz w:val="24"/>
          <w:szCs w:val="24"/>
        </w:rPr>
        <w:t xml:space="preserve"> і свобод</w:t>
      </w:r>
      <w:r w:rsidR="00780465">
        <w:rPr>
          <w:rFonts w:ascii="Times New Roman" w:hAnsi="Times New Roman" w:cs="Times New Roman"/>
          <w:sz w:val="24"/>
          <w:szCs w:val="24"/>
        </w:rPr>
        <w:t>ами</w:t>
      </w:r>
      <w:r w:rsidRPr="001B6E8C">
        <w:rPr>
          <w:rFonts w:ascii="Times New Roman" w:hAnsi="Times New Roman" w:cs="Times New Roman"/>
          <w:sz w:val="24"/>
          <w:szCs w:val="24"/>
        </w:rPr>
        <w:t xml:space="preserve"> людини і громадянина. Асамблея вважає, що низка практичних заходів може ефективно посилит</w:t>
      </w:r>
      <w:r w:rsidR="00780465">
        <w:rPr>
          <w:rFonts w:ascii="Times New Roman" w:hAnsi="Times New Roman" w:cs="Times New Roman"/>
          <w:sz w:val="24"/>
          <w:szCs w:val="24"/>
        </w:rPr>
        <w:t>и вищезазначені політичні зобов’</w:t>
      </w:r>
      <w:r w:rsidRPr="001B6E8C">
        <w:rPr>
          <w:rFonts w:ascii="Times New Roman" w:hAnsi="Times New Roman" w:cs="Times New Roman"/>
          <w:sz w:val="24"/>
          <w:szCs w:val="24"/>
        </w:rPr>
        <w:t xml:space="preserve">язання, уточнити та оптимізувати їхні відповідні ролі та місії і, в той же час, усунути або мінімізувати ризик дублювання стандартів, механізмів або дій у довгостроковій перспективі. Відповідно до своїх попередніх рекомендацій, </w:t>
      </w:r>
      <w:r w:rsidR="00780465">
        <w:rPr>
          <w:rFonts w:ascii="Times New Roman" w:hAnsi="Times New Roman" w:cs="Times New Roman"/>
          <w:sz w:val="24"/>
          <w:szCs w:val="24"/>
        </w:rPr>
        <w:t>Асамблея</w:t>
      </w:r>
      <w:r w:rsidRPr="001B6E8C">
        <w:rPr>
          <w:rFonts w:ascii="Times New Roman" w:hAnsi="Times New Roman" w:cs="Times New Roman"/>
          <w:sz w:val="24"/>
          <w:szCs w:val="24"/>
        </w:rPr>
        <w:t xml:space="preserve"> нагадує, що необхідно уникати непотрібного дублювання роботи у сфері прав людини, верховенства права та демократії.</w:t>
      </w:r>
    </w:p>
    <w:p w:rsidR="00FE4FD3" w:rsidRDefault="00FE4FD3" w:rsidP="00FE4FD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0465" w:rsidRDefault="00780465" w:rsidP="00780465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чином,</w:t>
      </w:r>
      <w:r w:rsidRPr="00780465">
        <w:rPr>
          <w:rFonts w:ascii="Times New Roman" w:hAnsi="Times New Roman" w:cs="Times New Roman"/>
          <w:sz w:val="24"/>
          <w:szCs w:val="24"/>
        </w:rPr>
        <w:t xml:space="preserve"> Асамблея </w:t>
      </w:r>
      <w:r>
        <w:rPr>
          <w:rFonts w:ascii="Times New Roman" w:hAnsi="Times New Roman" w:cs="Times New Roman"/>
          <w:sz w:val="24"/>
          <w:szCs w:val="24"/>
        </w:rPr>
        <w:t>заохочує Європейський Союз</w:t>
      </w:r>
      <w:r w:rsidRPr="00780465">
        <w:rPr>
          <w:rFonts w:ascii="Times New Roman" w:hAnsi="Times New Roman" w:cs="Times New Roman"/>
          <w:sz w:val="24"/>
          <w:szCs w:val="24"/>
        </w:rPr>
        <w:t xml:space="preserve">, в рамках його існуючих процедур та ініціатив, спрямованих на забезпечення дотримання цінностей, гарантованих статтею 2 Договору про Європейський Союз, </w:t>
      </w:r>
      <w:r>
        <w:rPr>
          <w:rFonts w:ascii="Times New Roman" w:hAnsi="Times New Roman" w:cs="Times New Roman"/>
          <w:sz w:val="24"/>
          <w:szCs w:val="24"/>
        </w:rPr>
        <w:t>до наступних дій:</w:t>
      </w:r>
    </w:p>
    <w:p w:rsidR="00FE4FD3" w:rsidRDefault="00FE4FD3" w:rsidP="00FE4FD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4FD3" w:rsidRDefault="00FE4FD3" w:rsidP="00FE4FD3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надавати перевагу ефективному застосуванню</w:t>
      </w:r>
      <w:r w:rsidR="00780465" w:rsidRPr="0078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«еталонів»</w:t>
      </w:r>
      <w:r w:rsidR="00780465" w:rsidRPr="00780465">
        <w:rPr>
          <w:rFonts w:ascii="Times New Roman" w:hAnsi="Times New Roman" w:cs="Times New Roman"/>
          <w:sz w:val="24"/>
          <w:szCs w:val="24"/>
        </w:rPr>
        <w:t xml:space="preserve"> на європ</w:t>
      </w:r>
      <w:r>
        <w:rPr>
          <w:rFonts w:ascii="Times New Roman" w:hAnsi="Times New Roman" w:cs="Times New Roman"/>
          <w:sz w:val="24"/>
          <w:szCs w:val="24"/>
        </w:rPr>
        <w:t>ейському рівні, використовуючи «стандарти верховенства права»</w:t>
      </w:r>
      <w:r w:rsidR="00780465" w:rsidRPr="00780465">
        <w:rPr>
          <w:rFonts w:ascii="Times New Roman" w:hAnsi="Times New Roman" w:cs="Times New Roman"/>
          <w:sz w:val="24"/>
          <w:szCs w:val="24"/>
        </w:rPr>
        <w:t xml:space="preserve"> Ради Європи, включаючи прецедентне право Європейського суду з прав людини, відповідні рекомендації Комітету міністрів, стандарти та висновки Венеціанської комісії (включаючи </w:t>
      </w:r>
      <w:r>
        <w:rPr>
          <w:rFonts w:ascii="Times New Roman" w:hAnsi="Times New Roman" w:cs="Times New Roman"/>
          <w:sz w:val="24"/>
          <w:szCs w:val="24"/>
        </w:rPr>
        <w:t xml:space="preserve">«Мірило правовладдя») та рекомендації </w:t>
      </w:r>
      <w:r w:rsidR="00780465" w:rsidRPr="00780465">
        <w:rPr>
          <w:rFonts w:ascii="Times New Roman" w:hAnsi="Times New Roman" w:cs="Times New Roman"/>
          <w:sz w:val="24"/>
          <w:szCs w:val="24"/>
        </w:rPr>
        <w:t>та/або висновки інших відповідних органів Ради Європи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4FD3" w:rsidRPr="00FE4FD3" w:rsidRDefault="00FE4FD3" w:rsidP="00FE4FD3">
      <w:pPr>
        <w:pStyle w:val="a6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FE4FD3" w:rsidRPr="00FE4FD3" w:rsidRDefault="00780465" w:rsidP="00FE4FD3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465">
        <w:rPr>
          <w:rFonts w:ascii="Times New Roman" w:hAnsi="Times New Roman" w:cs="Times New Roman"/>
          <w:sz w:val="24"/>
          <w:szCs w:val="24"/>
        </w:rPr>
        <w:t xml:space="preserve">використовувати </w:t>
      </w:r>
      <w:r w:rsidR="00FE4FD3">
        <w:rPr>
          <w:rFonts w:ascii="Times New Roman" w:hAnsi="Times New Roman" w:cs="Times New Roman"/>
          <w:sz w:val="24"/>
          <w:szCs w:val="24"/>
        </w:rPr>
        <w:t>наявні</w:t>
      </w:r>
      <w:r w:rsidRPr="00780465">
        <w:rPr>
          <w:rFonts w:ascii="Times New Roman" w:hAnsi="Times New Roman" w:cs="Times New Roman"/>
          <w:sz w:val="24"/>
          <w:szCs w:val="24"/>
        </w:rPr>
        <w:t xml:space="preserve"> звіти, висновки або рекомендації консультативних або моніторингових органів Ради Європи, не лише посилаючись на них як на джерела в документах, підготовлених органами Європейського Союзу, але й </w:t>
      </w:r>
      <w:r w:rsidR="00FE4FD3">
        <w:rPr>
          <w:rFonts w:ascii="Times New Roman" w:hAnsi="Times New Roman" w:cs="Times New Roman"/>
          <w:sz w:val="24"/>
          <w:szCs w:val="24"/>
        </w:rPr>
        <w:t>беручи до уваги</w:t>
      </w:r>
      <w:r w:rsidRPr="00780465">
        <w:rPr>
          <w:rFonts w:ascii="Times New Roman" w:hAnsi="Times New Roman" w:cs="Times New Roman"/>
          <w:sz w:val="24"/>
          <w:szCs w:val="24"/>
        </w:rPr>
        <w:t xml:space="preserve"> висновки цих органів при оцінці інституціями Європейського Союзу наявності проблеми з верховенством права, а також при формулюванні пропозицій щодо будь-яких дій, які необхідно вжити;</w:t>
      </w:r>
    </w:p>
    <w:p w:rsidR="00FE4FD3" w:rsidRPr="00FE4FD3" w:rsidRDefault="00FE4FD3" w:rsidP="00FE4FD3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4FD3" w:rsidRPr="00FE4FD3" w:rsidRDefault="00FE4FD3" w:rsidP="00FE4FD3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підтримувати зв’</w:t>
      </w:r>
      <w:r w:rsidR="00780465" w:rsidRPr="00780465">
        <w:rPr>
          <w:rFonts w:ascii="Times New Roman" w:hAnsi="Times New Roman" w:cs="Times New Roman"/>
          <w:sz w:val="24"/>
          <w:szCs w:val="24"/>
        </w:rPr>
        <w:t>язок з відповідними органами Ради Європи, які надали висновок або рекомендацію, з метою забезпечення узгодженості поглядів і висновків</w:t>
      </w:r>
      <w:r w:rsidRPr="00FE4FD3">
        <w:rPr>
          <w:rFonts w:ascii="Times New Roman" w:hAnsi="Times New Roman" w:cs="Times New Roman"/>
          <w:sz w:val="24"/>
          <w:szCs w:val="24"/>
        </w:rPr>
        <w:t xml:space="preserve"> </w:t>
      </w:r>
      <w:r w:rsidRPr="00780465">
        <w:rPr>
          <w:rFonts w:ascii="Times New Roman" w:hAnsi="Times New Roman" w:cs="Times New Roman"/>
          <w:sz w:val="24"/>
          <w:szCs w:val="24"/>
        </w:rPr>
        <w:t xml:space="preserve">при оцінці того, чи було усунуто недолік верховенства права або </w:t>
      </w:r>
      <w:r>
        <w:rPr>
          <w:rFonts w:ascii="Times New Roman" w:hAnsi="Times New Roman" w:cs="Times New Roman"/>
          <w:sz w:val="24"/>
          <w:szCs w:val="24"/>
        </w:rPr>
        <w:t xml:space="preserve">чи </w:t>
      </w:r>
      <w:r w:rsidRPr="00780465">
        <w:rPr>
          <w:rFonts w:ascii="Times New Roman" w:hAnsi="Times New Roman" w:cs="Times New Roman"/>
          <w:sz w:val="24"/>
          <w:szCs w:val="24"/>
        </w:rPr>
        <w:t>він перестав існувати</w:t>
      </w:r>
      <w:r w:rsidR="00780465" w:rsidRPr="00780465">
        <w:rPr>
          <w:rFonts w:ascii="Times New Roman" w:hAnsi="Times New Roman" w:cs="Times New Roman"/>
          <w:sz w:val="24"/>
          <w:szCs w:val="24"/>
        </w:rPr>
        <w:t>. Ініціа</w:t>
      </w:r>
      <w:r w:rsidR="007D2012">
        <w:rPr>
          <w:rFonts w:ascii="Times New Roman" w:hAnsi="Times New Roman" w:cs="Times New Roman"/>
          <w:sz w:val="24"/>
          <w:szCs w:val="24"/>
        </w:rPr>
        <w:t>тива політичних дій у разі</w:t>
      </w:r>
      <w:r w:rsidR="00780465" w:rsidRPr="00780465">
        <w:rPr>
          <w:rFonts w:ascii="Times New Roman" w:hAnsi="Times New Roman" w:cs="Times New Roman"/>
          <w:sz w:val="24"/>
          <w:szCs w:val="24"/>
        </w:rPr>
        <w:t xml:space="preserve"> невідповідності правовій базі Європейського Союзу залиша</w:t>
      </w:r>
      <w:r w:rsidR="007D2012">
        <w:rPr>
          <w:rFonts w:ascii="Times New Roman" w:hAnsi="Times New Roman" w:cs="Times New Roman"/>
          <w:sz w:val="24"/>
          <w:szCs w:val="24"/>
        </w:rPr>
        <w:t xml:space="preserve">тиметься за Європейським Союзом. При цьому </w:t>
      </w:r>
      <w:r w:rsidR="00780465" w:rsidRPr="00780465">
        <w:rPr>
          <w:rFonts w:ascii="Times New Roman" w:hAnsi="Times New Roman" w:cs="Times New Roman"/>
          <w:sz w:val="24"/>
          <w:szCs w:val="24"/>
        </w:rPr>
        <w:t xml:space="preserve">Рада Європи пропонуватиме правову та технічну оцінку відповідно до </w:t>
      </w:r>
      <w:r w:rsidR="007D2012">
        <w:rPr>
          <w:rFonts w:ascii="Times New Roman" w:hAnsi="Times New Roman" w:cs="Times New Roman"/>
          <w:sz w:val="24"/>
          <w:szCs w:val="24"/>
        </w:rPr>
        <w:t>повноважень</w:t>
      </w:r>
      <w:r w:rsidR="00780465" w:rsidRPr="00780465">
        <w:rPr>
          <w:rFonts w:ascii="Times New Roman" w:hAnsi="Times New Roman" w:cs="Times New Roman"/>
          <w:sz w:val="24"/>
          <w:szCs w:val="24"/>
        </w:rPr>
        <w:t xml:space="preserve"> своїх моніторингових або консультативних органів;</w:t>
      </w:r>
    </w:p>
    <w:p w:rsidR="00FE4FD3" w:rsidRDefault="00FE4FD3" w:rsidP="00FE4FD3">
      <w:pPr>
        <w:pStyle w:val="a6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780465" w:rsidRDefault="00780465" w:rsidP="00780465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465">
        <w:rPr>
          <w:rFonts w:ascii="Times New Roman" w:hAnsi="Times New Roman" w:cs="Times New Roman"/>
          <w:sz w:val="24"/>
          <w:szCs w:val="24"/>
        </w:rPr>
        <w:t xml:space="preserve">передбачити в усіх механізмах Європейського Союзу гарантії того, що оцінка або дії Європейського Союзу не впливатимуть на існуючі процедури, що випливають з консультативних або моніторингових механізмів Ради Європи, </w:t>
      </w:r>
      <w:r w:rsidR="007D2012">
        <w:rPr>
          <w:rFonts w:ascii="Times New Roman" w:hAnsi="Times New Roman" w:cs="Times New Roman"/>
          <w:sz w:val="24"/>
          <w:szCs w:val="24"/>
        </w:rPr>
        <w:t>аналогічно з</w:t>
      </w:r>
      <w:r w:rsidR="0029769D">
        <w:rPr>
          <w:rFonts w:ascii="Times New Roman" w:hAnsi="Times New Roman" w:cs="Times New Roman"/>
          <w:sz w:val="24"/>
          <w:szCs w:val="24"/>
        </w:rPr>
        <w:t>і</w:t>
      </w:r>
      <w:r w:rsidR="007D2012">
        <w:rPr>
          <w:rFonts w:ascii="Times New Roman" w:hAnsi="Times New Roman" w:cs="Times New Roman"/>
          <w:sz w:val="24"/>
          <w:szCs w:val="24"/>
        </w:rPr>
        <w:t xml:space="preserve"> статтею </w:t>
      </w:r>
      <w:r w:rsidRPr="00780465">
        <w:rPr>
          <w:rFonts w:ascii="Times New Roman" w:hAnsi="Times New Roman" w:cs="Times New Roman"/>
          <w:sz w:val="24"/>
          <w:szCs w:val="24"/>
        </w:rPr>
        <w:t xml:space="preserve">53 Хартії </w:t>
      </w:r>
      <w:r w:rsidR="007D2012" w:rsidRPr="00780465">
        <w:rPr>
          <w:rFonts w:ascii="Times New Roman" w:hAnsi="Times New Roman" w:cs="Times New Roman"/>
          <w:sz w:val="24"/>
          <w:szCs w:val="24"/>
        </w:rPr>
        <w:t xml:space="preserve">Європейського Союзу </w:t>
      </w:r>
      <w:r w:rsidR="007D2012">
        <w:rPr>
          <w:rFonts w:ascii="Times New Roman" w:hAnsi="Times New Roman" w:cs="Times New Roman"/>
          <w:sz w:val="24"/>
          <w:szCs w:val="24"/>
        </w:rPr>
        <w:t>про основоположні пр</w:t>
      </w:r>
      <w:r w:rsidRPr="00780465">
        <w:rPr>
          <w:rFonts w:ascii="Times New Roman" w:hAnsi="Times New Roman" w:cs="Times New Roman"/>
          <w:sz w:val="24"/>
          <w:szCs w:val="24"/>
        </w:rPr>
        <w:t>ав</w:t>
      </w:r>
      <w:r w:rsidR="007D2012">
        <w:rPr>
          <w:rFonts w:ascii="Times New Roman" w:hAnsi="Times New Roman" w:cs="Times New Roman"/>
          <w:sz w:val="24"/>
          <w:szCs w:val="24"/>
        </w:rPr>
        <w:t>а</w:t>
      </w:r>
      <w:r w:rsidRPr="00780465">
        <w:rPr>
          <w:rFonts w:ascii="Times New Roman" w:hAnsi="Times New Roman" w:cs="Times New Roman"/>
          <w:sz w:val="24"/>
          <w:szCs w:val="24"/>
        </w:rPr>
        <w:t>.</w:t>
      </w:r>
    </w:p>
    <w:p w:rsidR="007D2012" w:rsidRPr="007D2012" w:rsidRDefault="007D2012" w:rsidP="007D20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6A62" w:rsidRDefault="007D2012" w:rsidP="00296A62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012">
        <w:rPr>
          <w:rFonts w:ascii="Times New Roman" w:hAnsi="Times New Roman" w:cs="Times New Roman"/>
          <w:sz w:val="24"/>
          <w:szCs w:val="24"/>
        </w:rPr>
        <w:t xml:space="preserve">Асамблея вітає </w:t>
      </w:r>
      <w:r w:rsidR="0029769D">
        <w:rPr>
          <w:rFonts w:ascii="Times New Roman" w:hAnsi="Times New Roman" w:cs="Times New Roman"/>
          <w:sz w:val="24"/>
          <w:szCs w:val="24"/>
        </w:rPr>
        <w:t>активнішу</w:t>
      </w:r>
      <w:r w:rsidRPr="007D2012">
        <w:rPr>
          <w:rFonts w:ascii="Times New Roman" w:hAnsi="Times New Roman" w:cs="Times New Roman"/>
          <w:sz w:val="24"/>
          <w:szCs w:val="24"/>
        </w:rPr>
        <w:t xml:space="preserve"> участь Європейського Союзу в роботі низки органів Ради Європи, що сприяє зміцненню узгодженості підходів відповідних організацій у сферах</w:t>
      </w:r>
      <w:r>
        <w:rPr>
          <w:rFonts w:ascii="Times New Roman" w:hAnsi="Times New Roman" w:cs="Times New Roman"/>
          <w:sz w:val="24"/>
          <w:szCs w:val="24"/>
        </w:rPr>
        <w:t xml:space="preserve"> їхньої діяльності стосовно</w:t>
      </w:r>
      <w:r w:rsidRPr="007D2012">
        <w:rPr>
          <w:rFonts w:ascii="Times New Roman" w:hAnsi="Times New Roman" w:cs="Times New Roman"/>
          <w:sz w:val="24"/>
          <w:szCs w:val="24"/>
        </w:rPr>
        <w:t xml:space="preserve"> відповідних країн. Таке ґрунтовне співробітництво</w:t>
      </w:r>
      <w:r>
        <w:rPr>
          <w:rFonts w:ascii="Times New Roman" w:hAnsi="Times New Roman" w:cs="Times New Roman"/>
          <w:sz w:val="24"/>
          <w:szCs w:val="24"/>
        </w:rPr>
        <w:t xml:space="preserve"> має тривати і надалі, </w:t>
      </w:r>
      <w:r w:rsidR="00296A62">
        <w:rPr>
          <w:rFonts w:ascii="Times New Roman" w:hAnsi="Times New Roman" w:cs="Times New Roman"/>
          <w:sz w:val="24"/>
          <w:szCs w:val="24"/>
        </w:rPr>
        <w:t>при цьому укладати формальні інституційні домовленості необов’язково</w:t>
      </w:r>
      <w:r w:rsidRPr="007D2012">
        <w:rPr>
          <w:rFonts w:ascii="Times New Roman" w:hAnsi="Times New Roman" w:cs="Times New Roman"/>
          <w:sz w:val="24"/>
          <w:szCs w:val="24"/>
        </w:rPr>
        <w:t xml:space="preserve">. </w:t>
      </w:r>
      <w:r w:rsidR="00296A62">
        <w:rPr>
          <w:rFonts w:ascii="Times New Roman" w:hAnsi="Times New Roman" w:cs="Times New Roman"/>
          <w:sz w:val="24"/>
          <w:szCs w:val="24"/>
        </w:rPr>
        <w:t>Проте,</w:t>
      </w:r>
      <w:r w:rsidRPr="007D2012">
        <w:rPr>
          <w:rFonts w:ascii="Times New Roman" w:hAnsi="Times New Roman" w:cs="Times New Roman"/>
          <w:sz w:val="24"/>
          <w:szCs w:val="24"/>
        </w:rPr>
        <w:t xml:space="preserve"> у ряді випадків створення формальної основи не </w:t>
      </w:r>
      <w:r w:rsidR="00296A62">
        <w:rPr>
          <w:rFonts w:ascii="Times New Roman" w:hAnsi="Times New Roman" w:cs="Times New Roman"/>
          <w:sz w:val="24"/>
          <w:szCs w:val="24"/>
        </w:rPr>
        <w:t>лише</w:t>
      </w:r>
      <w:r w:rsidRPr="007D2012">
        <w:rPr>
          <w:rFonts w:ascii="Times New Roman" w:hAnsi="Times New Roman" w:cs="Times New Roman"/>
          <w:sz w:val="24"/>
          <w:szCs w:val="24"/>
        </w:rPr>
        <w:t xml:space="preserve"> допоможе зміцнити концепцію спільних </w:t>
      </w:r>
      <w:r w:rsidRPr="007D2012">
        <w:rPr>
          <w:rFonts w:ascii="Times New Roman" w:hAnsi="Times New Roman" w:cs="Times New Roman"/>
          <w:sz w:val="24"/>
          <w:szCs w:val="24"/>
        </w:rPr>
        <w:lastRenderedPageBreak/>
        <w:t xml:space="preserve">цінностей у сфері прав людини, верховенства права і демократії, а й дозволить уникнути ризику фрагментації і </w:t>
      </w:r>
      <w:r w:rsidR="0029769D">
        <w:rPr>
          <w:rFonts w:ascii="Times New Roman" w:hAnsi="Times New Roman" w:cs="Times New Roman"/>
          <w:sz w:val="24"/>
          <w:szCs w:val="24"/>
        </w:rPr>
        <w:t xml:space="preserve">виникнення </w:t>
      </w:r>
      <w:r w:rsidR="00296A62">
        <w:rPr>
          <w:rFonts w:ascii="Times New Roman" w:hAnsi="Times New Roman" w:cs="Times New Roman"/>
          <w:sz w:val="24"/>
          <w:szCs w:val="24"/>
        </w:rPr>
        <w:t>розділових</w:t>
      </w:r>
      <w:r w:rsidRPr="007D2012">
        <w:rPr>
          <w:rFonts w:ascii="Times New Roman" w:hAnsi="Times New Roman" w:cs="Times New Roman"/>
          <w:sz w:val="24"/>
          <w:szCs w:val="24"/>
        </w:rPr>
        <w:t xml:space="preserve"> ліній у застосуванні стандартів у Європі.</w:t>
      </w:r>
    </w:p>
    <w:p w:rsidR="00296A62" w:rsidRDefault="00296A62" w:rsidP="00296A6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50DB" w:rsidRDefault="00296A62" w:rsidP="00CD50DB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чином</w:t>
      </w:r>
      <w:r w:rsidRPr="00296A62">
        <w:rPr>
          <w:rFonts w:ascii="Times New Roman" w:hAnsi="Times New Roman" w:cs="Times New Roman"/>
          <w:sz w:val="24"/>
          <w:szCs w:val="24"/>
        </w:rPr>
        <w:t xml:space="preserve">, з метою </w:t>
      </w:r>
      <w:r w:rsidR="00CD50DB">
        <w:rPr>
          <w:rFonts w:ascii="Times New Roman" w:hAnsi="Times New Roman" w:cs="Times New Roman"/>
          <w:sz w:val="24"/>
          <w:szCs w:val="24"/>
        </w:rPr>
        <w:t>більшого залучення</w:t>
      </w:r>
      <w:r w:rsidRPr="00296A62">
        <w:rPr>
          <w:rFonts w:ascii="Times New Roman" w:hAnsi="Times New Roman" w:cs="Times New Roman"/>
          <w:sz w:val="24"/>
          <w:szCs w:val="24"/>
        </w:rPr>
        <w:t xml:space="preserve"> </w:t>
      </w:r>
      <w:r w:rsidR="00CD50DB">
        <w:rPr>
          <w:rFonts w:ascii="Times New Roman" w:hAnsi="Times New Roman" w:cs="Times New Roman"/>
          <w:sz w:val="24"/>
          <w:szCs w:val="24"/>
        </w:rPr>
        <w:t>Європейського Союзу до діяльності</w:t>
      </w:r>
      <w:r w:rsidRPr="00296A62">
        <w:rPr>
          <w:rFonts w:ascii="Times New Roman" w:hAnsi="Times New Roman" w:cs="Times New Roman"/>
          <w:sz w:val="24"/>
          <w:szCs w:val="24"/>
        </w:rPr>
        <w:t xml:space="preserve"> </w:t>
      </w:r>
      <w:r w:rsidR="00CD50DB">
        <w:rPr>
          <w:rFonts w:ascii="Times New Roman" w:hAnsi="Times New Roman" w:cs="Times New Roman"/>
          <w:sz w:val="24"/>
          <w:szCs w:val="24"/>
        </w:rPr>
        <w:t>моніторингових органів</w:t>
      </w:r>
      <w:r w:rsidRPr="00296A62">
        <w:rPr>
          <w:rFonts w:ascii="Times New Roman" w:hAnsi="Times New Roman" w:cs="Times New Roman"/>
          <w:sz w:val="24"/>
          <w:szCs w:val="24"/>
        </w:rPr>
        <w:t xml:space="preserve"> Ради Європи, Асамблея закликає Європейський Союз</w:t>
      </w:r>
      <w:r w:rsidR="00CD50DB">
        <w:rPr>
          <w:rFonts w:ascii="Times New Roman" w:hAnsi="Times New Roman" w:cs="Times New Roman"/>
          <w:sz w:val="24"/>
          <w:szCs w:val="24"/>
        </w:rPr>
        <w:t>:</w:t>
      </w:r>
    </w:p>
    <w:p w:rsidR="00CD50DB" w:rsidRPr="00CD50DB" w:rsidRDefault="00CD50DB" w:rsidP="00CD50D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D50DB" w:rsidRDefault="00CD50DB" w:rsidP="00CD50DB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96A62" w:rsidRPr="00CD50DB">
        <w:rPr>
          <w:rFonts w:ascii="Times New Roman" w:hAnsi="Times New Roman" w:cs="Times New Roman"/>
          <w:sz w:val="24"/>
          <w:szCs w:val="24"/>
        </w:rPr>
        <w:t>новити переговорний процес щодо приєднання до Європейської конвенції з прав людини з метою забезпечення зближення стандартів прав людини по всій Європі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50DB" w:rsidRPr="00CD50DB" w:rsidRDefault="00CD50DB" w:rsidP="00CD50DB">
      <w:pPr>
        <w:pStyle w:val="a6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CD50DB" w:rsidRPr="00CD50DB" w:rsidRDefault="00296A62" w:rsidP="00CD50DB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0DB">
        <w:rPr>
          <w:rFonts w:ascii="Times New Roman" w:hAnsi="Times New Roman" w:cs="Times New Roman"/>
          <w:sz w:val="24"/>
          <w:szCs w:val="24"/>
        </w:rPr>
        <w:t xml:space="preserve">приєднатися до Кримінальної конвенції про боротьбу з корупцією (ETS № 173) та прискорити переговори щодо участі в </w:t>
      </w:r>
      <w:r w:rsidR="00BB7AAB">
        <w:rPr>
          <w:rFonts w:ascii="Times New Roman" w:hAnsi="Times New Roman" w:cs="Times New Roman"/>
          <w:sz w:val="24"/>
          <w:szCs w:val="24"/>
        </w:rPr>
        <w:t>ГРЕКО</w:t>
      </w:r>
      <w:r w:rsidRPr="00CD50DB">
        <w:rPr>
          <w:rFonts w:ascii="Times New Roman" w:hAnsi="Times New Roman" w:cs="Times New Roman"/>
          <w:sz w:val="24"/>
          <w:szCs w:val="24"/>
        </w:rPr>
        <w:t xml:space="preserve"> з метою сприяння більш скоординованій політиці </w:t>
      </w:r>
      <w:r w:rsidR="00CD50DB">
        <w:rPr>
          <w:rFonts w:ascii="Times New Roman" w:hAnsi="Times New Roman" w:cs="Times New Roman"/>
          <w:sz w:val="24"/>
          <w:szCs w:val="24"/>
        </w:rPr>
        <w:t xml:space="preserve">протидії корупції </w:t>
      </w:r>
      <w:r w:rsidRPr="00CD50DB">
        <w:rPr>
          <w:rFonts w:ascii="Times New Roman" w:hAnsi="Times New Roman" w:cs="Times New Roman"/>
          <w:sz w:val="24"/>
          <w:szCs w:val="24"/>
        </w:rPr>
        <w:t>в Європі.</w:t>
      </w:r>
    </w:p>
    <w:p w:rsidR="00CD50DB" w:rsidRPr="00CD50DB" w:rsidRDefault="00CD50DB" w:rsidP="00CD50DB">
      <w:pPr>
        <w:pStyle w:val="a6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CD50DB" w:rsidRDefault="00CD50DB" w:rsidP="00CD50DB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0DB">
        <w:rPr>
          <w:rFonts w:ascii="Times New Roman" w:hAnsi="Times New Roman" w:cs="Times New Roman"/>
          <w:sz w:val="24"/>
          <w:szCs w:val="24"/>
        </w:rPr>
        <w:t xml:space="preserve">Крім того, з метою приєднання Європейського Союзу до Європейської соціальної хартії (переглянутої), до чого неодноразово закликав Європейський Парламент, Асамблея закликає Європейський Союз посилити зближення законодавства Європейського Союзу з Європейською соціальною хартією і закликає держави-члени </w:t>
      </w:r>
      <w:proofErr w:type="spellStart"/>
      <w:r w:rsidRPr="00CD50DB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CD50DB">
        <w:rPr>
          <w:rFonts w:ascii="Times New Roman" w:hAnsi="Times New Roman" w:cs="Times New Roman"/>
          <w:sz w:val="24"/>
          <w:szCs w:val="24"/>
        </w:rPr>
        <w:t xml:space="preserve"> до Європейської соціальної хартії положення про приєднання, що дозволить Європейському Союзу приєднатися до неї.</w:t>
      </w:r>
    </w:p>
    <w:p w:rsidR="00CD50DB" w:rsidRDefault="00CD50DB" w:rsidP="00CD50DB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50DB" w:rsidRDefault="00CD50DB" w:rsidP="00CD50DB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0DB">
        <w:rPr>
          <w:rFonts w:ascii="Times New Roman" w:hAnsi="Times New Roman" w:cs="Times New Roman"/>
          <w:sz w:val="24"/>
          <w:szCs w:val="24"/>
        </w:rPr>
        <w:t>Крім того, резолюція Європейського Парламенту про необхідність всеосяжного механізму Є</w:t>
      </w:r>
      <w:r w:rsidR="00F03F85">
        <w:rPr>
          <w:rFonts w:ascii="Times New Roman" w:hAnsi="Times New Roman" w:cs="Times New Roman"/>
          <w:sz w:val="24"/>
          <w:szCs w:val="24"/>
        </w:rPr>
        <w:t xml:space="preserve">вропейського </w:t>
      </w:r>
      <w:r w:rsidRPr="00CD50DB">
        <w:rPr>
          <w:rFonts w:ascii="Times New Roman" w:hAnsi="Times New Roman" w:cs="Times New Roman"/>
          <w:sz w:val="24"/>
          <w:szCs w:val="24"/>
        </w:rPr>
        <w:t>С</w:t>
      </w:r>
      <w:r w:rsidR="00F03F85">
        <w:rPr>
          <w:rFonts w:ascii="Times New Roman" w:hAnsi="Times New Roman" w:cs="Times New Roman"/>
          <w:sz w:val="24"/>
          <w:szCs w:val="24"/>
        </w:rPr>
        <w:t>оюзу</w:t>
      </w:r>
      <w:r w:rsidRPr="00CD50DB">
        <w:rPr>
          <w:rFonts w:ascii="Times New Roman" w:hAnsi="Times New Roman" w:cs="Times New Roman"/>
          <w:sz w:val="24"/>
          <w:szCs w:val="24"/>
        </w:rPr>
        <w:t xml:space="preserve"> для захисту демократії, верховенства права та основних прав відводить національним парламентам важливу роль у передбаченому механізмі та закликає до посилення міжпарламентського </w:t>
      </w:r>
      <w:r w:rsidR="00A80FF7">
        <w:rPr>
          <w:rFonts w:ascii="Times New Roman" w:hAnsi="Times New Roman" w:cs="Times New Roman"/>
          <w:sz w:val="24"/>
          <w:szCs w:val="24"/>
        </w:rPr>
        <w:t>діалогу між Європейським п</w:t>
      </w:r>
      <w:r w:rsidRPr="00CD50DB">
        <w:rPr>
          <w:rFonts w:ascii="Times New Roman" w:hAnsi="Times New Roman" w:cs="Times New Roman"/>
          <w:sz w:val="24"/>
          <w:szCs w:val="24"/>
        </w:rPr>
        <w:t>арламентом та національними п</w:t>
      </w:r>
      <w:r w:rsidR="00A80FF7">
        <w:rPr>
          <w:rFonts w:ascii="Times New Roman" w:hAnsi="Times New Roman" w:cs="Times New Roman"/>
          <w:sz w:val="24"/>
          <w:szCs w:val="24"/>
        </w:rPr>
        <w:t>арламентами. Асамблея, як и Європейський парламент, переконана, що, з одного боку, національні парламенти</w:t>
      </w:r>
      <w:r w:rsidRPr="00CD50DB">
        <w:rPr>
          <w:rFonts w:ascii="Times New Roman" w:hAnsi="Times New Roman" w:cs="Times New Roman"/>
          <w:sz w:val="24"/>
          <w:szCs w:val="24"/>
        </w:rPr>
        <w:t xml:space="preserve"> мають всі можливості для виявлення недоліків і визначення індикаторів для </w:t>
      </w:r>
      <w:r w:rsidR="00A80FF7">
        <w:rPr>
          <w:rFonts w:ascii="Times New Roman" w:hAnsi="Times New Roman" w:cs="Times New Roman"/>
          <w:sz w:val="24"/>
          <w:szCs w:val="24"/>
        </w:rPr>
        <w:t>оцінювання</w:t>
      </w:r>
      <w:r w:rsidRPr="00CD50DB">
        <w:rPr>
          <w:rFonts w:ascii="Times New Roman" w:hAnsi="Times New Roman" w:cs="Times New Roman"/>
          <w:sz w:val="24"/>
          <w:szCs w:val="24"/>
        </w:rPr>
        <w:t xml:space="preserve"> </w:t>
      </w:r>
      <w:r w:rsidR="00A80FF7">
        <w:rPr>
          <w:rFonts w:ascii="Times New Roman" w:hAnsi="Times New Roman" w:cs="Times New Roman"/>
          <w:sz w:val="24"/>
          <w:szCs w:val="24"/>
        </w:rPr>
        <w:t>дотримання спільних цінностей</w:t>
      </w:r>
      <w:r w:rsidRPr="00CD50DB">
        <w:rPr>
          <w:rFonts w:ascii="Times New Roman" w:hAnsi="Times New Roman" w:cs="Times New Roman"/>
          <w:sz w:val="24"/>
          <w:szCs w:val="24"/>
        </w:rPr>
        <w:t xml:space="preserve">. </w:t>
      </w:r>
      <w:r w:rsidR="00A80FF7">
        <w:rPr>
          <w:rFonts w:ascii="Times New Roman" w:hAnsi="Times New Roman" w:cs="Times New Roman"/>
          <w:sz w:val="24"/>
          <w:szCs w:val="24"/>
        </w:rPr>
        <w:t>Проте,</w:t>
      </w:r>
      <w:r w:rsidRPr="00CD50DB">
        <w:rPr>
          <w:rFonts w:ascii="Times New Roman" w:hAnsi="Times New Roman" w:cs="Times New Roman"/>
          <w:sz w:val="24"/>
          <w:szCs w:val="24"/>
        </w:rPr>
        <w:t xml:space="preserve"> вона також вважає, що</w:t>
      </w:r>
      <w:r w:rsidR="00A80FF7">
        <w:rPr>
          <w:rFonts w:ascii="Times New Roman" w:hAnsi="Times New Roman" w:cs="Times New Roman"/>
          <w:sz w:val="24"/>
          <w:szCs w:val="24"/>
        </w:rPr>
        <w:t xml:space="preserve">, з іншого боку, національні парламенти не володіють достатньою інформацією </w:t>
      </w:r>
      <w:r w:rsidRPr="00CD50DB">
        <w:rPr>
          <w:rFonts w:ascii="Times New Roman" w:hAnsi="Times New Roman" w:cs="Times New Roman"/>
          <w:sz w:val="24"/>
          <w:szCs w:val="24"/>
        </w:rPr>
        <w:t>про рекомендації, надані різними європейськими інституціями в контексті механізмів</w:t>
      </w:r>
      <w:r w:rsidR="00A80FF7">
        <w:rPr>
          <w:rFonts w:ascii="Times New Roman" w:hAnsi="Times New Roman" w:cs="Times New Roman"/>
          <w:sz w:val="24"/>
          <w:szCs w:val="24"/>
        </w:rPr>
        <w:t xml:space="preserve"> дотримання верховенства права. Це </w:t>
      </w:r>
      <w:r w:rsidRPr="00CD50DB">
        <w:rPr>
          <w:rFonts w:ascii="Times New Roman" w:hAnsi="Times New Roman" w:cs="Times New Roman"/>
          <w:sz w:val="24"/>
          <w:szCs w:val="24"/>
        </w:rPr>
        <w:t>шкодить консолідації системи захисту прав людини</w:t>
      </w:r>
      <w:r>
        <w:rPr>
          <w:rFonts w:ascii="Times New Roman" w:hAnsi="Times New Roman" w:cs="Times New Roman"/>
          <w:sz w:val="24"/>
          <w:szCs w:val="24"/>
        </w:rPr>
        <w:t xml:space="preserve"> та верховенства права в Європі.</w:t>
      </w:r>
    </w:p>
    <w:p w:rsidR="00CD50DB" w:rsidRPr="00CD50DB" w:rsidRDefault="00CD50DB" w:rsidP="00CD50DB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FF7" w:rsidRPr="004F7C07" w:rsidRDefault="00F03F85" w:rsidP="00A80FF7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Асамблея,</w:t>
      </w:r>
      <w:r w:rsidRPr="00CD50DB">
        <w:rPr>
          <w:rFonts w:ascii="Times New Roman" w:hAnsi="Times New Roman" w:cs="Times New Roman"/>
          <w:sz w:val="24"/>
          <w:szCs w:val="24"/>
        </w:rPr>
        <w:t xml:space="preserve"> як загальноєвропейський форум для міжпарламентського діалогу, прийняті документи якого слугують орієнтирами для національних урядів і парламентів щодо стандартів, які слід просувати в Європі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50DB" w:rsidRPr="00CD50DB">
        <w:rPr>
          <w:rFonts w:ascii="Times New Roman" w:hAnsi="Times New Roman" w:cs="Times New Roman"/>
          <w:sz w:val="24"/>
          <w:szCs w:val="24"/>
        </w:rPr>
        <w:t xml:space="preserve">вважає, </w:t>
      </w:r>
      <w:r>
        <w:rPr>
          <w:rFonts w:ascii="Times New Roman" w:hAnsi="Times New Roman" w:cs="Times New Roman"/>
          <w:sz w:val="24"/>
          <w:szCs w:val="24"/>
        </w:rPr>
        <w:t xml:space="preserve">що </w:t>
      </w:r>
      <w:r w:rsidR="00CD50DB" w:rsidRPr="00CD50DB">
        <w:rPr>
          <w:rFonts w:ascii="Times New Roman" w:hAnsi="Times New Roman" w:cs="Times New Roman"/>
          <w:sz w:val="24"/>
          <w:szCs w:val="24"/>
        </w:rPr>
        <w:t xml:space="preserve">вона могла б стати привілейованим </w:t>
      </w:r>
      <w:r>
        <w:rPr>
          <w:rFonts w:ascii="Times New Roman" w:hAnsi="Times New Roman" w:cs="Times New Roman"/>
          <w:sz w:val="24"/>
          <w:szCs w:val="24"/>
        </w:rPr>
        <w:t>майданчиком</w:t>
      </w:r>
      <w:r w:rsidR="00CD50DB" w:rsidRPr="00CD50DB">
        <w:rPr>
          <w:rFonts w:ascii="Times New Roman" w:hAnsi="Times New Roman" w:cs="Times New Roman"/>
          <w:sz w:val="24"/>
          <w:szCs w:val="24"/>
        </w:rPr>
        <w:t xml:space="preserve"> для регулярної взаємодії між інституціями Європейського Союзу та національними парламентськими делегаціями, які засідають в Асамблеї. Так, Асамблея готова проводити </w:t>
      </w:r>
      <w:r w:rsidR="00CD50DB"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>щорічні парламентські дебати з питань верховенства права, що</w:t>
      </w:r>
      <w:r w:rsidR="00A80FF7"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0FF7"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>надасть</w:t>
      </w:r>
      <w:proofErr w:type="spellEnd"/>
      <w:r w:rsidR="00A80FF7"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своєчасну можливість з</w:t>
      </w:r>
      <w:r w:rsidR="00CD50DB"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близити європейських політиків 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моніторингові</w:t>
      </w:r>
      <w:r w:rsidR="00CD50DB"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 національними парламентами</w:t>
      </w:r>
      <w:r w:rsidR="00CD50DB"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0FF7" w:rsidRPr="004F7C07" w:rsidRDefault="00A80FF7" w:rsidP="00A80FF7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0FF7" w:rsidRPr="004F7C07" w:rsidRDefault="00A80FF7" w:rsidP="00A80FF7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>Таким чином,</w:t>
      </w:r>
      <w:r w:rsidR="00CD50DB"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Асамблея вирішує запросити Європейський Союз до співпраці щодо запровадження щорічних парламентських дебатів з питань верховенства права, використовуючи платформу Парламентської Асамблеї для того, щоб</w:t>
      </w:r>
      <w:r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80FF7" w:rsidRPr="004F7C07" w:rsidRDefault="00A80FF7" w:rsidP="00A80FF7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0FF7" w:rsidRPr="004F7C07" w:rsidRDefault="00CD50DB" w:rsidP="004F7C07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краще інформувати національні парламенти про висновки та рекомендації різних звітів щодо дотримання державами-членами стандартів прав людини, верховенства права та демократії, підготовлених Радою Європи та Європейським </w:t>
      </w:r>
      <w:r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Союзом, і</w:t>
      </w:r>
      <w:r w:rsidR="00F03F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таким чином</w:t>
      </w:r>
      <w:r w:rsidR="00F03F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сприяти перетворенню рекомендацій, порад та висновків у національну політику дотримання стандартів</w:t>
      </w:r>
      <w:r w:rsidR="004F7C07"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80FF7" w:rsidRPr="004F7C07" w:rsidRDefault="00A80FF7" w:rsidP="00A80FF7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0FF7" w:rsidRPr="004F7C07" w:rsidRDefault="00CD50DB" w:rsidP="004F7C07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надавати можливість національним парламентам </w:t>
      </w:r>
      <w:r w:rsidR="00F03F85">
        <w:rPr>
          <w:rFonts w:ascii="Times New Roman" w:hAnsi="Times New Roman" w:cs="Times New Roman"/>
          <w:color w:val="000000" w:themeColor="text1"/>
          <w:sz w:val="24"/>
          <w:szCs w:val="24"/>
        </w:rPr>
        <w:t>повідомляти</w:t>
      </w:r>
      <w:r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європейські інституції про свої пріоритетні питання</w:t>
      </w:r>
      <w:r w:rsidR="004F7C07"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80FF7" w:rsidRPr="004F7C07" w:rsidRDefault="00A80FF7" w:rsidP="00A80FF7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0FF7" w:rsidRPr="004F7C07" w:rsidRDefault="00CD50DB" w:rsidP="004F7C07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>сприяти створенню спільного відчуття того, що ситуація в країні не є унікальною і що такі ж проблеми існують і в інших країнах.</w:t>
      </w:r>
    </w:p>
    <w:p w:rsidR="00A80FF7" w:rsidRPr="004F7C07" w:rsidRDefault="00A80FF7" w:rsidP="00A80FF7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0FF7" w:rsidRPr="004F7C07" w:rsidRDefault="004F7C07" w:rsidP="00CD50DB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>Асамблея закликає Європейський п</w:t>
      </w:r>
      <w:r w:rsidR="00F03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арламент посилити взаємну співпрацю </w:t>
      </w:r>
      <w:r w:rsidR="00CD50DB"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>з метою подальшого зміцнення парламе</w:t>
      </w:r>
      <w:r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>нтського виміру в питаннях, пов’</w:t>
      </w:r>
      <w:r w:rsidR="00CD50DB"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>язаних з верховенством права.</w:t>
      </w:r>
    </w:p>
    <w:p w:rsidR="00A80FF7" w:rsidRPr="004F7C07" w:rsidRDefault="00A80FF7" w:rsidP="00A80FF7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50DB" w:rsidRPr="004F7C07" w:rsidRDefault="00CD50DB" w:rsidP="00CD50DB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>Нарешті, розвиток механізмів верховенства права Європейського Союзу, поточні ініціативи та їх наслідки для Ради Європи заслуговують на подальший аналіз і осмислення на рівні самої Асамблеї з точки зору п</w:t>
      </w:r>
      <w:r w:rsidR="00B51A00">
        <w:rPr>
          <w:rFonts w:ascii="Times New Roman" w:hAnsi="Times New Roman" w:cs="Times New Roman"/>
          <w:color w:val="000000" w:themeColor="text1"/>
          <w:sz w:val="24"/>
          <w:szCs w:val="24"/>
        </w:rPr>
        <w:t>отенційного впливу на її власну</w:t>
      </w:r>
      <w:r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A00">
        <w:rPr>
          <w:rFonts w:ascii="Times New Roman" w:hAnsi="Times New Roman" w:cs="Times New Roman"/>
          <w:color w:val="000000" w:themeColor="text1"/>
          <w:sz w:val="24"/>
          <w:szCs w:val="24"/>
        </w:rPr>
        <w:t>організацію</w:t>
      </w:r>
      <w:r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роботи з точки зору сумісності з</w:t>
      </w:r>
      <w:r w:rsidR="006042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її процедурою моніторингу обов’язків і зобов’</w:t>
      </w:r>
      <w:r w:rsidRPr="004F7C07">
        <w:rPr>
          <w:rFonts w:ascii="Times New Roman" w:hAnsi="Times New Roman" w:cs="Times New Roman"/>
          <w:color w:val="000000" w:themeColor="text1"/>
          <w:sz w:val="24"/>
          <w:szCs w:val="24"/>
        </w:rPr>
        <w:t>язань, прийнятих державами-членами.</w:t>
      </w:r>
    </w:p>
    <w:sectPr w:rsidR="00CD50DB" w:rsidRPr="004F7C07">
      <w:headerReference w:type="default" r:id="rId2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21F" w:rsidRDefault="002C121F" w:rsidP="006170D2">
      <w:pPr>
        <w:spacing w:after="0" w:line="240" w:lineRule="auto"/>
      </w:pPr>
      <w:r>
        <w:separator/>
      </w:r>
    </w:p>
  </w:endnote>
  <w:endnote w:type="continuationSeparator" w:id="0">
    <w:p w:rsidR="002C121F" w:rsidRDefault="002C121F" w:rsidP="0061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21F" w:rsidRDefault="002C121F" w:rsidP="006170D2">
      <w:pPr>
        <w:spacing w:after="0" w:line="240" w:lineRule="auto"/>
      </w:pPr>
      <w:r>
        <w:separator/>
      </w:r>
    </w:p>
  </w:footnote>
  <w:footnote w:type="continuationSeparator" w:id="0">
    <w:p w:rsidR="002C121F" w:rsidRDefault="002C121F" w:rsidP="006170D2">
      <w:pPr>
        <w:spacing w:after="0" w:line="240" w:lineRule="auto"/>
      </w:pPr>
      <w:r>
        <w:continuationSeparator/>
      </w:r>
    </w:p>
  </w:footnote>
  <w:footnote w:id="1">
    <w:p w:rsidR="005705A8" w:rsidRPr="00480C15" w:rsidRDefault="006170D2" w:rsidP="008E2E8C">
      <w:pPr>
        <w:pStyle w:val="a3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8E2E8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8E2E8C">
        <w:rPr>
          <w:rFonts w:ascii="Times New Roman" w:hAnsi="Times New Roman" w:cs="Times New Roman"/>
          <w:sz w:val="18"/>
          <w:szCs w:val="18"/>
        </w:rPr>
        <w:t xml:space="preserve"> </w:t>
      </w:r>
      <w:r w:rsidR="00B51A00">
        <w:rPr>
          <w:rFonts w:ascii="Times New Roman" w:hAnsi="Times New Roman" w:cs="Times New Roman"/>
          <w:sz w:val="18"/>
          <w:szCs w:val="18"/>
        </w:rPr>
        <w:t xml:space="preserve">Дебати </w:t>
      </w:r>
      <w:r w:rsidR="00B51A00" w:rsidRPr="00480C15">
        <w:rPr>
          <w:rFonts w:ascii="Times New Roman" w:hAnsi="Times New Roman" w:cs="Times New Roman"/>
          <w:sz w:val="18"/>
          <w:szCs w:val="18"/>
        </w:rPr>
        <w:t xml:space="preserve">Асамблеї, що пройшли 9 квітня 2019 р. (13 засідання) </w:t>
      </w:r>
      <w:r w:rsidR="00B51A00" w:rsidRPr="00480C15">
        <w:rPr>
          <w:rFonts w:ascii="Times New Roman" w:hAnsi="Times New Roman" w:cs="Times New Roman"/>
          <w:sz w:val="18"/>
          <w:szCs w:val="18"/>
          <w:lang w:val="ru-RU" w:bidi="en-US"/>
        </w:rPr>
        <w:t xml:space="preserve">(див. </w:t>
      </w:r>
      <w:hyperlink r:id="rId1" w:history="1">
        <w:r w:rsidR="00B51A00" w:rsidRPr="00480C15">
          <w:rPr>
            <w:rStyle w:val="ab"/>
            <w:rFonts w:ascii="Times New Roman" w:hAnsi="Times New Roman" w:cs="Times New Roman"/>
            <w:color w:val="auto"/>
            <w:sz w:val="18"/>
            <w:szCs w:val="18"/>
            <w:lang w:bidi="en-US"/>
          </w:rPr>
          <w:t>Док. 14850</w:t>
        </w:r>
      </w:hyperlink>
      <w:r w:rsidR="00B51A00" w:rsidRPr="00480C15">
        <w:rPr>
          <w:rFonts w:ascii="Times New Roman" w:hAnsi="Times New Roman" w:cs="Times New Roman"/>
          <w:sz w:val="18"/>
          <w:szCs w:val="18"/>
          <w:lang w:bidi="en-US"/>
        </w:rPr>
        <w:t xml:space="preserve">, доповідь Комітету з питань правил процедури, імунітетів та інституційних питань, доповідач: Петра де </w:t>
      </w:r>
      <w:proofErr w:type="spellStart"/>
      <w:r w:rsidR="00B51A00" w:rsidRPr="00480C15">
        <w:rPr>
          <w:rFonts w:ascii="Times New Roman" w:hAnsi="Times New Roman" w:cs="Times New Roman"/>
          <w:sz w:val="18"/>
          <w:szCs w:val="18"/>
          <w:lang w:bidi="en-US"/>
        </w:rPr>
        <w:t>Суттер</w:t>
      </w:r>
      <w:proofErr w:type="spellEnd"/>
      <w:r w:rsidR="00B51A00" w:rsidRPr="00480C15">
        <w:rPr>
          <w:rFonts w:ascii="Times New Roman" w:hAnsi="Times New Roman" w:cs="Times New Roman"/>
          <w:sz w:val="18"/>
          <w:szCs w:val="18"/>
          <w:lang w:bidi="en-US"/>
        </w:rPr>
        <w:t xml:space="preserve">; </w:t>
      </w:r>
      <w:hyperlink r:id="rId2" w:history="1">
        <w:r w:rsidR="00B51A00" w:rsidRPr="00480C15">
          <w:rPr>
            <w:rStyle w:val="ab"/>
            <w:rFonts w:ascii="Times New Roman" w:hAnsi="Times New Roman" w:cs="Times New Roman"/>
            <w:color w:val="auto"/>
            <w:sz w:val="18"/>
            <w:szCs w:val="18"/>
            <w:lang w:bidi="en-US"/>
          </w:rPr>
          <w:t>Док. 14862</w:t>
        </w:r>
      </w:hyperlink>
      <w:r w:rsidR="00B51A00" w:rsidRPr="00480C15">
        <w:rPr>
          <w:rFonts w:ascii="Times New Roman" w:hAnsi="Times New Roman" w:cs="Times New Roman"/>
          <w:sz w:val="18"/>
          <w:szCs w:val="18"/>
          <w:lang w:bidi="en-US"/>
        </w:rPr>
        <w:t xml:space="preserve">, висновок Комітету з </w:t>
      </w:r>
      <w:r w:rsidR="00480C15" w:rsidRPr="00480C15">
        <w:rPr>
          <w:rFonts w:ascii="Times New Roman" w:hAnsi="Times New Roman" w:cs="Times New Roman"/>
          <w:sz w:val="18"/>
          <w:szCs w:val="18"/>
          <w:lang w:bidi="en-US"/>
        </w:rPr>
        <w:t>юридичних</w:t>
      </w:r>
      <w:r w:rsidR="00B51A00" w:rsidRPr="00480C15">
        <w:rPr>
          <w:rFonts w:ascii="Times New Roman" w:hAnsi="Times New Roman" w:cs="Times New Roman"/>
          <w:sz w:val="18"/>
          <w:szCs w:val="18"/>
          <w:lang w:bidi="en-US"/>
        </w:rPr>
        <w:t xml:space="preserve"> питань та прав людини, доповідач: Лорд Річард </w:t>
      </w:r>
      <w:proofErr w:type="spellStart"/>
      <w:r w:rsidR="00B51A00" w:rsidRPr="00480C15">
        <w:rPr>
          <w:rFonts w:ascii="Times New Roman" w:hAnsi="Times New Roman" w:cs="Times New Roman"/>
          <w:sz w:val="18"/>
          <w:szCs w:val="18"/>
          <w:lang w:bidi="en-US"/>
        </w:rPr>
        <w:t>Балф</w:t>
      </w:r>
      <w:proofErr w:type="spellEnd"/>
      <w:r w:rsidR="00B51A00" w:rsidRPr="00480C15">
        <w:rPr>
          <w:rFonts w:ascii="Times New Roman" w:hAnsi="Times New Roman" w:cs="Times New Roman"/>
          <w:sz w:val="18"/>
          <w:szCs w:val="18"/>
          <w:lang w:bidi="en-US"/>
        </w:rPr>
        <w:t xml:space="preserve">; </w:t>
      </w:r>
      <w:hyperlink r:id="rId3" w:history="1">
        <w:r w:rsidR="00B51A00" w:rsidRPr="00480C15">
          <w:rPr>
            <w:rStyle w:val="ab"/>
            <w:rFonts w:ascii="Times New Roman" w:hAnsi="Times New Roman" w:cs="Times New Roman"/>
            <w:color w:val="auto"/>
            <w:sz w:val="18"/>
            <w:szCs w:val="18"/>
            <w:lang w:bidi="en-US"/>
          </w:rPr>
          <w:t>Док. 14860</w:t>
        </w:r>
      </w:hyperlink>
      <w:r w:rsidR="00B51A00" w:rsidRPr="00480C15">
        <w:rPr>
          <w:rFonts w:ascii="Times New Roman" w:hAnsi="Times New Roman" w:cs="Times New Roman"/>
          <w:sz w:val="18"/>
          <w:szCs w:val="18"/>
          <w:lang w:bidi="en-US"/>
        </w:rPr>
        <w:t>, висновок Комітету з питань дотримання обов’язків та зобов’язань державами-членами Ради Європи (Моніторин</w:t>
      </w:r>
      <w:r w:rsidR="00480C15" w:rsidRPr="00480C15">
        <w:rPr>
          <w:rFonts w:ascii="Times New Roman" w:hAnsi="Times New Roman" w:cs="Times New Roman"/>
          <w:sz w:val="18"/>
          <w:szCs w:val="18"/>
          <w:lang w:bidi="en-US"/>
        </w:rPr>
        <w:t xml:space="preserve">говий комітет), доповідач: </w:t>
      </w:r>
      <w:proofErr w:type="spellStart"/>
      <w:r w:rsidR="00480C15" w:rsidRPr="00480C15">
        <w:rPr>
          <w:rFonts w:ascii="Times New Roman" w:hAnsi="Times New Roman" w:cs="Times New Roman"/>
          <w:sz w:val="18"/>
          <w:szCs w:val="18"/>
          <w:lang w:bidi="en-US"/>
        </w:rPr>
        <w:t>Андре</w:t>
      </w:r>
      <w:r w:rsidR="00B51A00" w:rsidRPr="00480C15">
        <w:rPr>
          <w:rFonts w:ascii="Times New Roman" w:hAnsi="Times New Roman" w:cs="Times New Roman"/>
          <w:sz w:val="18"/>
          <w:szCs w:val="18"/>
          <w:lang w:bidi="en-US"/>
        </w:rPr>
        <w:t>й</w:t>
      </w:r>
      <w:proofErr w:type="spellEnd"/>
      <w:r w:rsidR="00B51A00" w:rsidRPr="00480C15">
        <w:rPr>
          <w:rFonts w:ascii="Times New Roman" w:hAnsi="Times New Roman" w:cs="Times New Roman"/>
          <w:sz w:val="18"/>
          <w:szCs w:val="18"/>
          <w:lang w:bidi="en-US"/>
        </w:rPr>
        <w:t xml:space="preserve"> </w:t>
      </w:r>
      <w:proofErr w:type="spellStart"/>
      <w:r w:rsidR="00480C15" w:rsidRPr="00480C15">
        <w:rPr>
          <w:rFonts w:ascii="Times New Roman" w:hAnsi="Times New Roman" w:cs="Times New Roman"/>
          <w:sz w:val="18"/>
          <w:szCs w:val="18"/>
          <w:lang w:bidi="en-US"/>
        </w:rPr>
        <w:t>Шірцел</w:t>
      </w:r>
      <w:r w:rsidR="00B51A00" w:rsidRPr="00480C15">
        <w:rPr>
          <w:rFonts w:ascii="Times New Roman" w:hAnsi="Times New Roman" w:cs="Times New Roman"/>
          <w:sz w:val="18"/>
          <w:szCs w:val="18"/>
          <w:lang w:bidi="en-US"/>
        </w:rPr>
        <w:t>ь</w:t>
      </w:r>
      <w:proofErr w:type="spellEnd"/>
      <w:r w:rsidR="00B51A00" w:rsidRPr="00480C15">
        <w:rPr>
          <w:rFonts w:ascii="Times New Roman" w:hAnsi="Times New Roman" w:cs="Times New Roman"/>
          <w:sz w:val="18"/>
          <w:szCs w:val="18"/>
          <w:lang w:bidi="en-US"/>
        </w:rPr>
        <w:t>). Текст прийнятий Асамблеєю 9 квітня 2019 року (13 засідання).</w:t>
      </w:r>
    </w:p>
    <w:p w:rsidR="008E2E8C" w:rsidRPr="004F7C07" w:rsidRDefault="004F7C07" w:rsidP="008E2E8C">
      <w:pPr>
        <w:pStyle w:val="a3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r w:rsidRPr="004F7C07">
        <w:rPr>
          <w:rFonts w:ascii="Times New Roman" w:hAnsi="Times New Roman" w:cs="Times New Roman"/>
          <w:color w:val="000000" w:themeColor="text1"/>
          <w:sz w:val="18"/>
          <w:szCs w:val="18"/>
          <w:lang w:bidi="en-US"/>
        </w:rPr>
        <w:t xml:space="preserve">Див. також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bidi="en-US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18"/>
          <w:szCs w:val="18"/>
          <w:lang w:bidi="en-US"/>
        </w:rPr>
        <w:instrText xml:space="preserve"> HYPERLINK "https://pace.coe.int/en/files/27613" </w:instrText>
      </w:r>
      <w:r>
        <w:rPr>
          <w:rFonts w:ascii="Times New Roman" w:hAnsi="Times New Roman" w:cs="Times New Roman"/>
          <w:color w:val="000000" w:themeColor="text1"/>
          <w:sz w:val="18"/>
          <w:szCs w:val="18"/>
          <w:lang w:bidi="en-US"/>
        </w:rPr>
        <w:fldChar w:fldCharType="separate"/>
      </w:r>
      <w:r w:rsidRPr="004F7C07">
        <w:rPr>
          <w:rStyle w:val="ab"/>
          <w:rFonts w:ascii="Times New Roman" w:hAnsi="Times New Roman" w:cs="Times New Roman"/>
          <w:sz w:val="18"/>
          <w:szCs w:val="18"/>
          <w:lang w:bidi="en-US"/>
        </w:rPr>
        <w:t xml:space="preserve">Рекомендацію 2151 (2019). </w:t>
      </w:r>
    </w:p>
    <w:p w:rsidR="008E2E8C" w:rsidRPr="008E2E8C" w:rsidRDefault="004F7C07" w:rsidP="008E2E8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bidi="en-US"/>
        </w:rPr>
        <w:fldChar w:fldCharType="end"/>
      </w:r>
      <w:r w:rsidR="008E2E8C" w:rsidRPr="008E2E8C">
        <w:rPr>
          <w:rFonts w:ascii="Times New Roman" w:hAnsi="Times New Roman" w:cs="Times New Roman"/>
          <w:color w:val="000000"/>
          <w:sz w:val="18"/>
          <w:szCs w:val="18"/>
          <w:lang w:val="en-US" w:bidi="en-US"/>
        </w:rPr>
        <w:t>https</w:t>
      </w:r>
      <w:r w:rsidR="008E2E8C" w:rsidRPr="008E2E8C">
        <w:rPr>
          <w:rFonts w:ascii="Times New Roman" w:hAnsi="Times New Roman" w:cs="Times New Roman"/>
          <w:color w:val="000000"/>
          <w:sz w:val="18"/>
          <w:szCs w:val="18"/>
          <w:lang w:bidi="en-US"/>
        </w:rPr>
        <w:t>://</w:t>
      </w:r>
      <w:r w:rsidR="008E2E8C" w:rsidRPr="008E2E8C">
        <w:rPr>
          <w:rFonts w:ascii="Times New Roman" w:hAnsi="Times New Roman" w:cs="Times New Roman"/>
          <w:color w:val="000000"/>
          <w:sz w:val="18"/>
          <w:szCs w:val="18"/>
          <w:lang w:val="en-US" w:bidi="en-US"/>
        </w:rPr>
        <w:t>pace</w:t>
      </w:r>
      <w:r w:rsidR="008E2E8C" w:rsidRPr="008E2E8C">
        <w:rPr>
          <w:rFonts w:ascii="Times New Roman" w:hAnsi="Times New Roman" w:cs="Times New Roman"/>
          <w:color w:val="000000"/>
          <w:sz w:val="18"/>
          <w:szCs w:val="18"/>
          <w:lang w:bidi="en-US"/>
        </w:rPr>
        <w:t>.</w:t>
      </w:r>
      <w:proofErr w:type="spellStart"/>
      <w:r w:rsidR="008E2E8C" w:rsidRPr="008E2E8C">
        <w:rPr>
          <w:rFonts w:ascii="Times New Roman" w:hAnsi="Times New Roman" w:cs="Times New Roman"/>
          <w:color w:val="000000"/>
          <w:sz w:val="18"/>
          <w:szCs w:val="18"/>
          <w:lang w:val="en-US" w:bidi="en-US"/>
        </w:rPr>
        <w:t>coe</w:t>
      </w:r>
      <w:proofErr w:type="spellEnd"/>
      <w:r w:rsidR="008E2E8C" w:rsidRPr="008E2E8C">
        <w:rPr>
          <w:rFonts w:ascii="Times New Roman" w:hAnsi="Times New Roman" w:cs="Times New Roman"/>
          <w:color w:val="000000"/>
          <w:sz w:val="18"/>
          <w:szCs w:val="18"/>
          <w:lang w:bidi="en-US"/>
        </w:rPr>
        <w:t>.</w:t>
      </w:r>
      <w:proofErr w:type="spellStart"/>
      <w:r w:rsidR="008E2E8C" w:rsidRPr="008E2E8C">
        <w:rPr>
          <w:rFonts w:ascii="Times New Roman" w:hAnsi="Times New Roman" w:cs="Times New Roman"/>
          <w:color w:val="000000"/>
          <w:sz w:val="18"/>
          <w:szCs w:val="18"/>
          <w:lang w:val="en-US" w:bidi="en-US"/>
        </w:rPr>
        <w:t>int</w:t>
      </w:r>
      <w:proofErr w:type="spellEnd"/>
      <w:r w:rsidR="008E2E8C" w:rsidRPr="008E2E8C">
        <w:rPr>
          <w:rFonts w:ascii="Times New Roman" w:hAnsi="Times New Roman" w:cs="Times New Roman"/>
          <w:color w:val="000000"/>
          <w:sz w:val="18"/>
          <w:szCs w:val="18"/>
          <w:lang w:bidi="en-US"/>
        </w:rPr>
        <w:t>/</w:t>
      </w:r>
      <w:proofErr w:type="spellStart"/>
      <w:r w:rsidR="008E2E8C" w:rsidRPr="008E2E8C">
        <w:rPr>
          <w:rFonts w:ascii="Times New Roman" w:hAnsi="Times New Roman" w:cs="Times New Roman"/>
          <w:color w:val="000000"/>
          <w:sz w:val="18"/>
          <w:szCs w:val="18"/>
          <w:lang w:val="en-US" w:bidi="en-US"/>
        </w:rPr>
        <w:t>en</w:t>
      </w:r>
      <w:proofErr w:type="spellEnd"/>
      <w:r w:rsidR="008E2E8C" w:rsidRPr="008E2E8C">
        <w:rPr>
          <w:rFonts w:ascii="Times New Roman" w:hAnsi="Times New Roman" w:cs="Times New Roman"/>
          <w:color w:val="000000"/>
          <w:sz w:val="18"/>
          <w:szCs w:val="18"/>
          <w:lang w:bidi="en-US"/>
        </w:rPr>
        <w:t>/</w:t>
      </w:r>
      <w:r w:rsidR="008E2E8C" w:rsidRPr="008E2E8C">
        <w:rPr>
          <w:rFonts w:ascii="Times New Roman" w:hAnsi="Times New Roman" w:cs="Times New Roman"/>
          <w:noProof/>
          <w:sz w:val="18"/>
          <w:szCs w:val="18"/>
          <w:lang w:eastAsia="uk-UA"/>
        </w:rPr>
        <w:t xml:space="preserve"> </w:t>
      </w:r>
      <w:r w:rsidR="008E2E8C" w:rsidRPr="008E2E8C">
        <w:rPr>
          <w:rFonts w:ascii="Times New Roman" w:hAnsi="Times New Roman" w:cs="Times New Roman"/>
          <w:noProof/>
          <w:sz w:val="18"/>
          <w:szCs w:val="18"/>
          <w:lang w:eastAsia="uk-UA"/>
        </w:rPr>
        <w:drawing>
          <wp:inline distT="0" distB="0" distL="0" distR="0" wp14:anchorId="5F245DB2" wp14:editId="112B6C21">
            <wp:extent cx="721674" cy="721674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66" cy="72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8C" w:rsidRPr="004F7883" w:rsidRDefault="008E2E8C">
    <w:pPr>
      <w:pStyle w:val="a7"/>
      <w:rPr>
        <w:rFonts w:ascii="Times New Roman" w:hAnsi="Times New Roman" w:cs="Times New Roman"/>
        <w:i/>
        <w:sz w:val="24"/>
        <w:szCs w:val="24"/>
      </w:rPr>
    </w:pPr>
    <w:r w:rsidRPr="004F7883">
      <w:rPr>
        <w:rFonts w:ascii="Times New Roman" w:hAnsi="Times New Roman" w:cs="Times New Roman"/>
        <w:i/>
        <w:sz w:val="24"/>
        <w:szCs w:val="24"/>
      </w:rPr>
      <w:t>Резолюція 2273 (2019)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6A8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A2"/>
    <w:rsid w:val="00030627"/>
    <w:rsid w:val="000336D6"/>
    <w:rsid w:val="000B2823"/>
    <w:rsid w:val="00161EB3"/>
    <w:rsid w:val="001B6E8C"/>
    <w:rsid w:val="0022048E"/>
    <w:rsid w:val="0026611A"/>
    <w:rsid w:val="00281963"/>
    <w:rsid w:val="00296A62"/>
    <w:rsid w:val="0029769D"/>
    <w:rsid w:val="002A18F1"/>
    <w:rsid w:val="002C121F"/>
    <w:rsid w:val="003C416F"/>
    <w:rsid w:val="003D2882"/>
    <w:rsid w:val="003D55F2"/>
    <w:rsid w:val="00480C15"/>
    <w:rsid w:val="004C0C13"/>
    <w:rsid w:val="004F7883"/>
    <w:rsid w:val="004F7C07"/>
    <w:rsid w:val="005543BA"/>
    <w:rsid w:val="005705A8"/>
    <w:rsid w:val="006042CF"/>
    <w:rsid w:val="006170D2"/>
    <w:rsid w:val="0064100F"/>
    <w:rsid w:val="00711517"/>
    <w:rsid w:val="00712E28"/>
    <w:rsid w:val="00731F64"/>
    <w:rsid w:val="00780465"/>
    <w:rsid w:val="007C66A2"/>
    <w:rsid w:val="007D1B3F"/>
    <w:rsid w:val="007D2012"/>
    <w:rsid w:val="007E0574"/>
    <w:rsid w:val="007E6535"/>
    <w:rsid w:val="008E2E8C"/>
    <w:rsid w:val="00925C9C"/>
    <w:rsid w:val="0093158C"/>
    <w:rsid w:val="00973254"/>
    <w:rsid w:val="009E5B79"/>
    <w:rsid w:val="00A162F7"/>
    <w:rsid w:val="00A358C7"/>
    <w:rsid w:val="00A64F38"/>
    <w:rsid w:val="00A80FF7"/>
    <w:rsid w:val="00B11702"/>
    <w:rsid w:val="00B369FE"/>
    <w:rsid w:val="00B51A00"/>
    <w:rsid w:val="00B97474"/>
    <w:rsid w:val="00BB7AAB"/>
    <w:rsid w:val="00C43CEE"/>
    <w:rsid w:val="00CD2970"/>
    <w:rsid w:val="00CD50DB"/>
    <w:rsid w:val="00CF182B"/>
    <w:rsid w:val="00D3366C"/>
    <w:rsid w:val="00DB4F0C"/>
    <w:rsid w:val="00F03F85"/>
    <w:rsid w:val="00F10177"/>
    <w:rsid w:val="00FC0148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70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70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70D2"/>
    <w:rPr>
      <w:vertAlign w:val="superscript"/>
    </w:rPr>
  </w:style>
  <w:style w:type="paragraph" w:styleId="a6">
    <w:name w:val="List Paragraph"/>
    <w:basedOn w:val="a"/>
    <w:uiPriority w:val="34"/>
    <w:qFormat/>
    <w:rsid w:val="006170D2"/>
    <w:pPr>
      <w:ind w:left="720"/>
      <w:contextualSpacing/>
    </w:pPr>
  </w:style>
  <w:style w:type="character" w:customStyle="1" w:styleId="3">
    <w:name w:val="Основной текст (3) + Курсив"/>
    <w:basedOn w:val="a0"/>
    <w:rsid w:val="008E2E8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0">
    <w:name w:val="Основной текст (3)"/>
    <w:basedOn w:val="a0"/>
    <w:rsid w:val="008E2E8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8E2E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2E8C"/>
  </w:style>
  <w:style w:type="paragraph" w:styleId="a9">
    <w:name w:val="footer"/>
    <w:basedOn w:val="a"/>
    <w:link w:val="aa"/>
    <w:uiPriority w:val="99"/>
    <w:unhideWhenUsed/>
    <w:rsid w:val="008E2E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2E8C"/>
  </w:style>
  <w:style w:type="character" w:styleId="ab">
    <w:name w:val="Hyperlink"/>
    <w:basedOn w:val="a0"/>
    <w:uiPriority w:val="99"/>
    <w:unhideWhenUsed/>
    <w:rsid w:val="00B9747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F7C07"/>
    <w:rPr>
      <w:color w:val="954F72" w:themeColor="followedHyperlink"/>
      <w:u w:val="single"/>
    </w:rPr>
  </w:style>
  <w:style w:type="character" w:styleId="ad">
    <w:name w:val="Emphasis"/>
    <w:basedOn w:val="a0"/>
    <w:uiPriority w:val="20"/>
    <w:qFormat/>
    <w:rsid w:val="0064100F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8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1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70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70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70D2"/>
    <w:rPr>
      <w:vertAlign w:val="superscript"/>
    </w:rPr>
  </w:style>
  <w:style w:type="paragraph" w:styleId="a6">
    <w:name w:val="List Paragraph"/>
    <w:basedOn w:val="a"/>
    <w:uiPriority w:val="34"/>
    <w:qFormat/>
    <w:rsid w:val="006170D2"/>
    <w:pPr>
      <w:ind w:left="720"/>
      <w:contextualSpacing/>
    </w:pPr>
  </w:style>
  <w:style w:type="character" w:customStyle="1" w:styleId="3">
    <w:name w:val="Основной текст (3) + Курсив"/>
    <w:basedOn w:val="a0"/>
    <w:rsid w:val="008E2E8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0">
    <w:name w:val="Основной текст (3)"/>
    <w:basedOn w:val="a0"/>
    <w:rsid w:val="008E2E8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8E2E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2E8C"/>
  </w:style>
  <w:style w:type="paragraph" w:styleId="a9">
    <w:name w:val="footer"/>
    <w:basedOn w:val="a"/>
    <w:link w:val="aa"/>
    <w:uiPriority w:val="99"/>
    <w:unhideWhenUsed/>
    <w:rsid w:val="008E2E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2E8C"/>
  </w:style>
  <w:style w:type="character" w:styleId="ab">
    <w:name w:val="Hyperlink"/>
    <w:basedOn w:val="a0"/>
    <w:uiPriority w:val="99"/>
    <w:unhideWhenUsed/>
    <w:rsid w:val="00B9747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F7C07"/>
    <w:rPr>
      <w:color w:val="954F72" w:themeColor="followedHyperlink"/>
      <w:u w:val="single"/>
    </w:rPr>
  </w:style>
  <w:style w:type="character" w:styleId="ad">
    <w:name w:val="Emphasis"/>
    <w:basedOn w:val="a0"/>
    <w:uiPriority w:val="20"/>
    <w:qFormat/>
    <w:rsid w:val="0064100F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8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1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ce.coe.int/en/files/17902" TargetMode="External"/><Relationship Id="rId18" Type="http://schemas.openxmlformats.org/officeDocument/2006/relationships/hyperlink" Target="https://pace.coe.int/en/files/21501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ace.coe.int/en/files/17901" TargetMode="External"/><Relationship Id="rId17" Type="http://schemas.openxmlformats.org/officeDocument/2006/relationships/hyperlink" Target="https://pace.coe.int/en/files/215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ce.coe.int/en/files/20225" TargetMode="External"/><Relationship Id="rId20" Type="http://schemas.openxmlformats.org/officeDocument/2006/relationships/hyperlink" Target="https://pace.coe.int/en/files/2159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ce.coe.int/en/files/174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ce.coe.int/en/files/1803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ce.coe.int/en/files/17308" TargetMode="External"/><Relationship Id="rId19" Type="http://schemas.openxmlformats.org/officeDocument/2006/relationships/hyperlink" Target="https://pace.coe.int/en/files/215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ce.coe.int/en/files/17309" TargetMode="External"/><Relationship Id="rId14" Type="http://schemas.openxmlformats.org/officeDocument/2006/relationships/hyperlink" Target="https://pace.coe.int/en/files/18031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ace.coe.int/en/files/27516" TargetMode="External"/><Relationship Id="rId2" Type="http://schemas.openxmlformats.org/officeDocument/2006/relationships/hyperlink" Target="https://pace.coe.int/en/files/27535" TargetMode="External"/><Relationship Id="rId1" Type="http://schemas.openxmlformats.org/officeDocument/2006/relationships/hyperlink" Target="https://pace.coe.int/en/files/27484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10582</Words>
  <Characters>6033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Погребняк Єлизавета Володимирівна</dc:creator>
  <cp:keywords/>
  <dc:description/>
  <cp:lastModifiedBy>Купач Дарина Андріївна</cp:lastModifiedBy>
  <cp:revision>29</cp:revision>
  <dcterms:created xsi:type="dcterms:W3CDTF">2024-01-23T13:12:00Z</dcterms:created>
  <dcterms:modified xsi:type="dcterms:W3CDTF">2024-02-22T11:26:00Z</dcterms:modified>
</cp:coreProperties>
</file>